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49131" w14:textId="77777777" w:rsidR="0028624C" w:rsidRDefault="00252B75" w:rsidP="00C9122C">
      <w:pPr>
        <w:autoSpaceDE w:val="0"/>
        <w:autoSpaceDN w:val="0"/>
        <w:adjustRightInd w:val="0"/>
        <w:spacing w:after="0"/>
        <w:jc w:val="both"/>
        <w:rPr>
          <w:rFonts w:ascii="Trebuchet MS" w:hAnsi="Trebuchet MS"/>
          <w:b/>
          <w:color w:val="000000"/>
          <w:szCs w:val="22"/>
          <w:lang w:val="lt-LT" w:eastAsia="en-US"/>
        </w:rPr>
      </w:pPr>
      <w:r>
        <w:rPr>
          <w:rFonts w:ascii="Trebuchet MS" w:hAnsi="Trebuchet MS"/>
          <w:b/>
          <w:color w:val="000000"/>
          <w:szCs w:val="22"/>
          <w:lang w:val="lt-LT" w:eastAsia="en-US"/>
        </w:rPr>
        <w:t>K</w:t>
      </w:r>
      <w:r w:rsidR="009C34F5" w:rsidRPr="00F17ECC">
        <w:rPr>
          <w:rFonts w:ascii="Trebuchet MS" w:hAnsi="Trebuchet MS"/>
          <w:b/>
          <w:color w:val="000000"/>
          <w:szCs w:val="22"/>
          <w:lang w:val="lt-LT" w:eastAsia="en-US"/>
        </w:rPr>
        <w:t>lausimai parengti įvertinus mokesčių mokėtojams dažniausiai kylančius su kontroliuojamųjų sandorių kainodara susijusius klausimus</w:t>
      </w:r>
      <w:r w:rsidR="00643BF2">
        <w:rPr>
          <w:rFonts w:ascii="Trebuchet MS" w:hAnsi="Trebuchet MS"/>
          <w:b/>
          <w:color w:val="000000"/>
          <w:szCs w:val="22"/>
          <w:lang w:val="lt-LT" w:eastAsia="en-US"/>
        </w:rPr>
        <w:t xml:space="preserve"> bei</w:t>
      </w:r>
      <w:r w:rsidR="009C34F5" w:rsidRPr="00F17ECC">
        <w:rPr>
          <w:rFonts w:ascii="Trebuchet MS" w:hAnsi="Trebuchet MS"/>
          <w:b/>
          <w:color w:val="000000"/>
          <w:szCs w:val="22"/>
          <w:lang w:val="lt-LT" w:eastAsia="en-US"/>
        </w:rPr>
        <w:t xml:space="preserve"> mokesčių administratoriaus kontrolės ir stebėsenos veiksmų praktiką šioje srityje. Ši</w:t>
      </w:r>
      <w:r w:rsidR="0082470E">
        <w:rPr>
          <w:rFonts w:ascii="Trebuchet MS" w:hAnsi="Trebuchet MS"/>
          <w:b/>
          <w:color w:val="000000"/>
          <w:szCs w:val="22"/>
          <w:lang w:val="lt-LT" w:eastAsia="en-US"/>
        </w:rPr>
        <w:t>uose</w:t>
      </w:r>
      <w:r w:rsidR="009C34F5" w:rsidRPr="00F17ECC">
        <w:rPr>
          <w:rFonts w:ascii="Trebuchet MS" w:hAnsi="Trebuchet MS"/>
          <w:b/>
          <w:color w:val="000000"/>
          <w:szCs w:val="22"/>
          <w:lang w:val="lt-LT" w:eastAsia="en-US"/>
        </w:rPr>
        <w:t xml:space="preserve"> atsakym</w:t>
      </w:r>
      <w:r w:rsidR="0082470E">
        <w:rPr>
          <w:rFonts w:ascii="Trebuchet MS" w:hAnsi="Trebuchet MS"/>
          <w:b/>
          <w:color w:val="000000"/>
          <w:szCs w:val="22"/>
          <w:lang w:val="lt-LT" w:eastAsia="en-US"/>
        </w:rPr>
        <w:t>uose</w:t>
      </w:r>
      <w:r w:rsidR="009C34F5" w:rsidRPr="00F17ECC">
        <w:rPr>
          <w:rFonts w:ascii="Trebuchet MS" w:hAnsi="Trebuchet MS"/>
          <w:b/>
          <w:color w:val="000000"/>
          <w:szCs w:val="22"/>
          <w:lang w:val="lt-LT" w:eastAsia="en-US"/>
        </w:rPr>
        <w:t xml:space="preserve"> </w:t>
      </w:r>
      <w:r w:rsidR="00643BF2">
        <w:rPr>
          <w:rFonts w:ascii="Trebuchet MS" w:hAnsi="Trebuchet MS"/>
          <w:b/>
          <w:color w:val="000000"/>
          <w:szCs w:val="22"/>
          <w:lang w:val="lt-LT" w:eastAsia="en-US"/>
        </w:rPr>
        <w:t>pa</w:t>
      </w:r>
      <w:r w:rsidR="0082470E">
        <w:rPr>
          <w:rFonts w:ascii="Trebuchet MS" w:hAnsi="Trebuchet MS"/>
          <w:b/>
          <w:color w:val="000000"/>
          <w:szCs w:val="22"/>
          <w:lang w:val="lt-LT" w:eastAsia="en-US"/>
        </w:rPr>
        <w:t>teikta</w:t>
      </w:r>
      <w:r w:rsidR="00643BF2">
        <w:rPr>
          <w:rFonts w:ascii="Trebuchet MS" w:hAnsi="Trebuchet MS"/>
          <w:b/>
          <w:color w:val="000000"/>
          <w:szCs w:val="22"/>
          <w:lang w:val="lt-LT" w:eastAsia="en-US"/>
        </w:rPr>
        <w:t xml:space="preserve"> mokesčių administratoriaus nuomon</w:t>
      </w:r>
      <w:r w:rsidR="0082470E">
        <w:rPr>
          <w:rFonts w:ascii="Trebuchet MS" w:hAnsi="Trebuchet MS"/>
          <w:b/>
          <w:color w:val="000000"/>
          <w:szCs w:val="22"/>
          <w:lang w:val="lt-LT" w:eastAsia="en-US"/>
        </w:rPr>
        <w:t>ė</w:t>
      </w:r>
      <w:r w:rsidR="00643BF2">
        <w:rPr>
          <w:rFonts w:ascii="Trebuchet MS" w:hAnsi="Trebuchet MS"/>
          <w:b/>
          <w:color w:val="000000"/>
          <w:szCs w:val="22"/>
          <w:lang w:val="lt-LT" w:eastAsia="en-US"/>
        </w:rPr>
        <w:t xml:space="preserve"> ir </w:t>
      </w:r>
      <w:r w:rsidR="0082470E">
        <w:rPr>
          <w:rFonts w:ascii="Trebuchet MS" w:hAnsi="Trebuchet MS"/>
          <w:b/>
          <w:color w:val="000000"/>
          <w:szCs w:val="22"/>
          <w:lang w:val="lt-LT" w:eastAsia="en-US"/>
        </w:rPr>
        <w:t xml:space="preserve">jie </w:t>
      </w:r>
      <w:r w:rsidR="009C34F5" w:rsidRPr="00F17ECC">
        <w:rPr>
          <w:rFonts w:ascii="Trebuchet MS" w:hAnsi="Trebuchet MS"/>
          <w:b/>
          <w:color w:val="000000"/>
          <w:szCs w:val="22"/>
          <w:lang w:val="lt-LT" w:eastAsia="en-US"/>
        </w:rPr>
        <w:t xml:space="preserve">neturi teisės akto galios. </w:t>
      </w:r>
    </w:p>
    <w:p w14:paraId="58B7905A" w14:textId="54E88073" w:rsidR="007453CD" w:rsidRPr="00F17ECC" w:rsidRDefault="009C34F5" w:rsidP="00C9122C">
      <w:pPr>
        <w:autoSpaceDE w:val="0"/>
        <w:autoSpaceDN w:val="0"/>
        <w:adjustRightInd w:val="0"/>
        <w:spacing w:after="0"/>
        <w:jc w:val="both"/>
        <w:rPr>
          <w:rFonts w:ascii="Trebuchet MS" w:hAnsi="Trebuchet MS"/>
          <w:b/>
          <w:color w:val="000000"/>
          <w:szCs w:val="22"/>
          <w:lang w:val="lt-LT" w:eastAsia="en-US"/>
        </w:rPr>
      </w:pPr>
      <w:r w:rsidRPr="00F17ECC">
        <w:rPr>
          <w:rFonts w:ascii="Trebuchet MS" w:hAnsi="Trebuchet MS"/>
          <w:b/>
          <w:color w:val="000000"/>
          <w:szCs w:val="22"/>
          <w:lang w:val="lt-LT" w:eastAsia="en-US"/>
        </w:rPr>
        <w:t xml:space="preserve">Mokesčių mokėtojas, norėdamas juos taikyti savo praktikoje, turi įvertinti konkrečios situacijos aplinkybes ir ypatumus.  </w:t>
      </w:r>
    </w:p>
    <w:p w14:paraId="1529A0D8" w14:textId="77777777" w:rsidR="007453CD" w:rsidRPr="00F17ECC" w:rsidRDefault="007453CD" w:rsidP="00C9122C">
      <w:pPr>
        <w:autoSpaceDE w:val="0"/>
        <w:autoSpaceDN w:val="0"/>
        <w:adjustRightInd w:val="0"/>
        <w:spacing w:after="0"/>
        <w:ind w:firstLine="720"/>
        <w:jc w:val="both"/>
        <w:rPr>
          <w:rFonts w:ascii="Trebuchet MS" w:hAnsi="Trebuchet MS"/>
          <w:b/>
          <w:color w:val="000000"/>
          <w:szCs w:val="22"/>
          <w:lang w:val="lt-LT" w:eastAsia="en-US"/>
        </w:rPr>
      </w:pPr>
    </w:p>
    <w:p w14:paraId="790C3144" w14:textId="65EF24BD" w:rsidR="007453CD" w:rsidRPr="009D76C7" w:rsidRDefault="007453CD" w:rsidP="009D71C8">
      <w:pPr>
        <w:autoSpaceDE w:val="0"/>
        <w:autoSpaceDN w:val="0"/>
        <w:adjustRightInd w:val="0"/>
        <w:spacing w:after="0"/>
        <w:ind w:firstLine="720"/>
        <w:jc w:val="center"/>
        <w:rPr>
          <w:rFonts w:ascii="Trebuchet MS" w:hAnsi="Trebuchet MS"/>
          <w:b/>
          <w:color w:val="000000"/>
          <w:sz w:val="28"/>
          <w:szCs w:val="28"/>
          <w:lang w:val="lt-LT" w:eastAsia="en-US"/>
        </w:rPr>
      </w:pPr>
      <w:r w:rsidRPr="009D76C7">
        <w:rPr>
          <w:rFonts w:ascii="Trebuchet MS" w:hAnsi="Trebuchet MS"/>
          <w:b/>
          <w:color w:val="000000"/>
          <w:sz w:val="28"/>
          <w:szCs w:val="28"/>
          <w:lang w:val="lt-LT" w:eastAsia="en-US"/>
        </w:rPr>
        <w:t>Ištiest</w:t>
      </w:r>
      <w:bookmarkStart w:id="0" w:name="_GoBack"/>
      <w:bookmarkEnd w:id="0"/>
      <w:r w:rsidRPr="009D76C7">
        <w:rPr>
          <w:rFonts w:ascii="Trebuchet MS" w:hAnsi="Trebuchet MS"/>
          <w:b/>
          <w:color w:val="000000"/>
          <w:sz w:val="28"/>
          <w:szCs w:val="28"/>
          <w:lang w:val="lt-LT" w:eastAsia="en-US"/>
        </w:rPr>
        <w:t>osios rankos intervalo sudarym</w:t>
      </w:r>
      <w:r w:rsidR="0028624C">
        <w:rPr>
          <w:rFonts w:ascii="Trebuchet MS" w:hAnsi="Trebuchet MS"/>
          <w:b/>
          <w:color w:val="000000"/>
          <w:sz w:val="28"/>
          <w:szCs w:val="28"/>
          <w:lang w:val="lt-LT" w:eastAsia="en-US"/>
        </w:rPr>
        <w:t>as</w:t>
      </w:r>
    </w:p>
    <w:p w14:paraId="1E543FA5" w14:textId="77777777" w:rsidR="009D76C7" w:rsidRPr="009D76C7" w:rsidRDefault="009D76C7" w:rsidP="00C9122C">
      <w:pPr>
        <w:autoSpaceDE w:val="0"/>
        <w:autoSpaceDN w:val="0"/>
        <w:adjustRightInd w:val="0"/>
        <w:spacing w:after="0"/>
        <w:ind w:firstLine="720"/>
        <w:jc w:val="both"/>
        <w:rPr>
          <w:rFonts w:ascii="Trebuchet MS" w:hAnsi="Trebuchet MS"/>
          <w:b/>
          <w:color w:val="000000"/>
          <w:sz w:val="28"/>
          <w:szCs w:val="28"/>
          <w:lang w:val="lt-LT" w:eastAsia="en-US"/>
        </w:rPr>
      </w:pPr>
    </w:p>
    <w:p w14:paraId="7E5BB4F0" w14:textId="77777777"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b/>
          <w:color w:val="000000"/>
          <w:szCs w:val="22"/>
          <w:lang w:val="lt-LT" w:eastAsia="en-US"/>
        </w:rPr>
        <w:t>1</w:t>
      </w:r>
      <w:r w:rsidRPr="00F17ECC">
        <w:rPr>
          <w:rFonts w:ascii="Trebuchet MS" w:hAnsi="Trebuchet MS"/>
          <w:color w:val="000000"/>
          <w:szCs w:val="22"/>
          <w:lang w:val="lt-LT" w:eastAsia="en-US"/>
        </w:rPr>
        <w:t xml:space="preserve">. </w:t>
      </w:r>
      <w:r w:rsidRPr="00F17ECC">
        <w:rPr>
          <w:rFonts w:ascii="Trebuchet MS" w:hAnsi="Trebuchet MS"/>
          <w:b/>
          <w:color w:val="000000"/>
          <w:szCs w:val="22"/>
          <w:lang w:val="lt-LT" w:eastAsia="en-US"/>
        </w:rPr>
        <w:t>Kas yra ištiestosios rankos intervalas</w:t>
      </w:r>
      <w:r w:rsidRPr="00F17ECC">
        <w:rPr>
          <w:rFonts w:ascii="Trebuchet MS" w:hAnsi="Trebuchet MS"/>
          <w:color w:val="000000"/>
          <w:szCs w:val="22"/>
          <w:lang w:val="lt-LT" w:eastAsia="en-US"/>
        </w:rPr>
        <w:t>?</w:t>
      </w:r>
    </w:p>
    <w:p w14:paraId="3638C53F" w14:textId="77777777" w:rsidR="0028727E" w:rsidRDefault="007453CD" w:rsidP="00AF2E05">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Tai reikšmių aibė, kuria grindžiamas vertinamo kontroliuojamojo sandorio kainos atitikimas ištiestosios rankos principui (IRP).  Laikoma, kad sandorio kaina arba pelnas atitinka IRP, jeigu jie neišeina iš ištiestosios rankos intervalo, sudaryto naudojant palyginamuosius duomenis, ribų.</w:t>
      </w:r>
      <w:r w:rsidR="00AF2E05">
        <w:rPr>
          <w:rFonts w:ascii="Trebuchet MS" w:hAnsi="Trebuchet MS"/>
          <w:color w:val="000000"/>
          <w:szCs w:val="22"/>
          <w:lang w:val="lt-LT" w:eastAsia="en-US"/>
        </w:rPr>
        <w:t xml:space="preserve"> V</w:t>
      </w:r>
      <w:r w:rsidR="00AF2E05" w:rsidRPr="00F17ECC">
        <w:rPr>
          <w:rFonts w:ascii="Trebuchet MS" w:hAnsi="Trebuchet MS"/>
          <w:color w:val="000000"/>
          <w:szCs w:val="22"/>
          <w:lang w:val="lt-LT" w:eastAsia="en-US"/>
        </w:rPr>
        <w:t>isi šiame intervale esantys skaičiai (dydžiai) yra santykinai vienodai tinkami nustatyti sandorio kainos atitikimą IRP</w:t>
      </w:r>
      <w:r w:rsidR="00AF2E05">
        <w:rPr>
          <w:rFonts w:ascii="Trebuchet MS" w:hAnsi="Trebuchet MS"/>
          <w:color w:val="000000"/>
          <w:szCs w:val="22"/>
          <w:lang w:val="lt-LT" w:eastAsia="en-US"/>
        </w:rPr>
        <w:t xml:space="preserve">. </w:t>
      </w:r>
    </w:p>
    <w:p w14:paraId="5C694314" w14:textId="2A473437" w:rsidR="00CA7213" w:rsidRDefault="00AF2E05" w:rsidP="00AF2E05">
      <w:pPr>
        <w:autoSpaceDE w:val="0"/>
        <w:autoSpaceDN w:val="0"/>
        <w:adjustRightInd w:val="0"/>
        <w:spacing w:after="0"/>
        <w:ind w:firstLine="720"/>
        <w:jc w:val="both"/>
        <w:rPr>
          <w:rFonts w:ascii="Trebuchet MS" w:hAnsi="Trebuchet MS"/>
          <w:color w:val="000000"/>
          <w:szCs w:val="22"/>
          <w:lang w:val="lt-LT" w:eastAsia="en-US"/>
        </w:rPr>
      </w:pPr>
      <w:r>
        <w:rPr>
          <w:rFonts w:ascii="Trebuchet MS" w:hAnsi="Trebuchet MS"/>
          <w:color w:val="000000"/>
          <w:szCs w:val="22"/>
          <w:lang w:val="lt-LT" w:eastAsia="en-US"/>
        </w:rPr>
        <w:t xml:space="preserve">Tokio </w:t>
      </w:r>
      <w:r w:rsidRPr="00F17ECC">
        <w:rPr>
          <w:rFonts w:ascii="Trebuchet MS" w:hAnsi="Trebuchet MS"/>
          <w:color w:val="000000"/>
          <w:szCs w:val="22"/>
          <w:lang w:val="lt-LT" w:eastAsia="en-US"/>
        </w:rPr>
        <w:t>interval</w:t>
      </w:r>
      <w:r>
        <w:rPr>
          <w:rFonts w:ascii="Trebuchet MS" w:hAnsi="Trebuchet MS"/>
          <w:color w:val="000000"/>
          <w:szCs w:val="22"/>
          <w:lang w:val="lt-LT" w:eastAsia="en-US"/>
        </w:rPr>
        <w:t xml:space="preserve">o susidarymą lemia tai, kad </w:t>
      </w:r>
      <w:r w:rsidRPr="00F17ECC">
        <w:rPr>
          <w:rFonts w:ascii="Trebuchet MS" w:hAnsi="Trebuchet MS"/>
          <w:color w:val="000000"/>
          <w:szCs w:val="22"/>
          <w:lang w:val="lt-LT" w:eastAsia="en-US"/>
        </w:rPr>
        <w:t>vertinant sąlygas, kurios susiklostytų tarp neasocijuotų asmenų, paprastai yra gaunamos apytikrės reikšmės (vertės)</w:t>
      </w:r>
      <w:r>
        <w:rPr>
          <w:rFonts w:ascii="Trebuchet MS" w:hAnsi="Trebuchet MS"/>
          <w:color w:val="000000"/>
          <w:szCs w:val="22"/>
          <w:lang w:val="lt-LT" w:eastAsia="en-US"/>
        </w:rPr>
        <w:t xml:space="preserve">. Be to, </w:t>
      </w:r>
      <w:r w:rsidRPr="00F17ECC">
        <w:rPr>
          <w:rFonts w:ascii="Trebuchet MS" w:hAnsi="Trebuchet MS"/>
          <w:color w:val="000000"/>
          <w:szCs w:val="22"/>
          <w:lang w:val="lt-LT" w:eastAsia="en-US"/>
        </w:rPr>
        <w:t>neasocijuoti asmenys</w:t>
      </w:r>
      <w:r>
        <w:rPr>
          <w:rFonts w:ascii="Trebuchet MS" w:hAnsi="Trebuchet MS"/>
          <w:color w:val="000000"/>
          <w:szCs w:val="22"/>
          <w:lang w:val="lt-LT" w:eastAsia="en-US"/>
        </w:rPr>
        <w:t xml:space="preserve"> panašiems sandoriams neretai yra linkę nustatyti ne vienodo dydžio kainas. Todėl kontroliuojamųjų sandorių kainų pagrindimui </w:t>
      </w:r>
      <w:r w:rsidR="00CA7213">
        <w:rPr>
          <w:rFonts w:ascii="Trebuchet MS" w:hAnsi="Trebuchet MS"/>
          <w:color w:val="000000"/>
          <w:szCs w:val="22"/>
          <w:lang w:val="lt-LT" w:eastAsia="en-US"/>
        </w:rPr>
        <w:t>ištiestosios rankos intervalas taikomas gana dažnai</w:t>
      </w:r>
      <w:r w:rsidR="0028727E">
        <w:rPr>
          <w:rFonts w:ascii="Trebuchet MS" w:hAnsi="Trebuchet MS"/>
          <w:color w:val="000000"/>
          <w:szCs w:val="22"/>
          <w:lang w:val="lt-LT" w:eastAsia="en-US"/>
        </w:rPr>
        <w:t>,</w:t>
      </w:r>
      <w:r w:rsidR="00CA7213">
        <w:rPr>
          <w:rFonts w:ascii="Trebuchet MS" w:hAnsi="Trebuchet MS"/>
          <w:color w:val="000000"/>
          <w:szCs w:val="22"/>
          <w:lang w:val="lt-LT" w:eastAsia="en-US"/>
        </w:rPr>
        <w:t xml:space="preserve"> o</w:t>
      </w:r>
      <w:r>
        <w:rPr>
          <w:rFonts w:ascii="Trebuchet MS" w:hAnsi="Trebuchet MS"/>
          <w:color w:val="000000"/>
          <w:szCs w:val="22"/>
          <w:lang w:val="lt-LT" w:eastAsia="en-US"/>
        </w:rPr>
        <w:t xml:space="preserve"> atvejai, kuomet </w:t>
      </w:r>
      <w:r w:rsidR="007453CD" w:rsidRPr="00F17ECC">
        <w:rPr>
          <w:rFonts w:ascii="Trebuchet MS" w:hAnsi="Trebuchet MS"/>
          <w:color w:val="000000"/>
          <w:szCs w:val="22"/>
          <w:lang w:val="lt-LT" w:eastAsia="en-US"/>
        </w:rPr>
        <w:t>siekiant nustatyti IRP atitinkančią sandorio kainą, apskaičiuojamas vienas skaičius (pvz., kainos dydis arba marža)</w:t>
      </w:r>
      <w:r w:rsidR="00CA7213">
        <w:rPr>
          <w:rFonts w:ascii="Trebuchet MS" w:hAnsi="Trebuchet MS"/>
          <w:color w:val="000000"/>
          <w:szCs w:val="22"/>
          <w:lang w:val="lt-LT" w:eastAsia="en-US"/>
        </w:rPr>
        <w:t>, pasitaiko santykinai rečiau.</w:t>
      </w:r>
    </w:p>
    <w:p w14:paraId="3E83E017" w14:textId="77777777"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p>
    <w:p w14:paraId="64389F01" w14:textId="77777777"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b/>
          <w:color w:val="000000"/>
          <w:szCs w:val="22"/>
          <w:lang w:val="lt-LT" w:eastAsia="en-US"/>
        </w:rPr>
        <w:t>2</w:t>
      </w:r>
      <w:r w:rsidRPr="00F17ECC">
        <w:rPr>
          <w:rFonts w:ascii="Trebuchet MS" w:hAnsi="Trebuchet MS"/>
          <w:color w:val="000000"/>
          <w:szCs w:val="22"/>
          <w:lang w:val="lt-LT" w:eastAsia="en-US"/>
        </w:rPr>
        <w:t xml:space="preserve">. </w:t>
      </w:r>
      <w:r w:rsidRPr="00F17ECC">
        <w:rPr>
          <w:rFonts w:ascii="Trebuchet MS" w:hAnsi="Trebuchet MS"/>
          <w:b/>
          <w:color w:val="000000"/>
          <w:szCs w:val="22"/>
          <w:lang w:val="lt-LT" w:eastAsia="en-US"/>
        </w:rPr>
        <w:t>Kaip sudaromas ištiestosios rankos intervalas</w:t>
      </w:r>
      <w:r w:rsidRPr="00F17ECC">
        <w:rPr>
          <w:rFonts w:ascii="Trebuchet MS" w:hAnsi="Trebuchet MS"/>
          <w:color w:val="000000"/>
          <w:szCs w:val="22"/>
          <w:lang w:val="lt-LT" w:eastAsia="en-US"/>
        </w:rPr>
        <w:t xml:space="preserve">? </w:t>
      </w:r>
    </w:p>
    <w:p w14:paraId="600F4F97" w14:textId="03D14159" w:rsidR="00C61502" w:rsidRPr="0028727E"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Ištiestosios rankos intervalas sudaromas naudojant palyginamuosius duomenis. Atlikus palyginimų </w:t>
      </w:r>
      <w:r w:rsidRPr="0028727E">
        <w:rPr>
          <w:rFonts w:ascii="Trebuchet MS" w:hAnsi="Trebuchet MS"/>
          <w:color w:val="000000"/>
          <w:szCs w:val="22"/>
          <w:lang w:val="lt-LT" w:eastAsia="en-US"/>
        </w:rPr>
        <w:t xml:space="preserve">paiešką ir atrinkus ne vieną, bet keletą </w:t>
      </w:r>
      <w:r w:rsidR="00AD3B3C" w:rsidRPr="0028727E">
        <w:rPr>
          <w:rFonts w:ascii="Trebuchet MS" w:hAnsi="Trebuchet MS"/>
          <w:color w:val="000000"/>
          <w:szCs w:val="22"/>
          <w:lang w:val="lt-LT" w:eastAsia="en-US"/>
        </w:rPr>
        <w:t xml:space="preserve">palyginamų </w:t>
      </w:r>
      <w:r w:rsidRPr="0028727E">
        <w:rPr>
          <w:rFonts w:ascii="Trebuchet MS" w:hAnsi="Trebuchet MS"/>
          <w:color w:val="000000"/>
          <w:szCs w:val="22"/>
          <w:lang w:val="lt-LT" w:eastAsia="en-US"/>
        </w:rPr>
        <w:t xml:space="preserve">skaičių, jų pagrindu apskaičiuojama aibė laikytina ištiestosios rankos intervalu. </w:t>
      </w:r>
    </w:p>
    <w:p w14:paraId="6508FCA3" w14:textId="11EEAAF1" w:rsidR="00C61502" w:rsidRDefault="00C40AAD" w:rsidP="00C9122C">
      <w:pPr>
        <w:autoSpaceDE w:val="0"/>
        <w:autoSpaceDN w:val="0"/>
        <w:adjustRightInd w:val="0"/>
        <w:spacing w:after="0"/>
        <w:ind w:firstLine="720"/>
        <w:jc w:val="both"/>
        <w:rPr>
          <w:rFonts w:ascii="Trebuchet MS" w:hAnsi="Trebuchet MS"/>
          <w:color w:val="000000"/>
          <w:szCs w:val="22"/>
          <w:lang w:val="lt-LT" w:eastAsia="en-US"/>
        </w:rPr>
      </w:pPr>
      <w:r w:rsidRPr="0028727E">
        <w:rPr>
          <w:rFonts w:ascii="Trebuchet MS" w:hAnsi="Trebuchet MS"/>
          <w:szCs w:val="22"/>
          <w:lang w:val="lt-LT"/>
        </w:rPr>
        <w:t xml:space="preserve">Šios aibės apskaičiavimui naudojami įvairūs statistiniai metodai. </w:t>
      </w:r>
      <w:r w:rsidR="00C61502" w:rsidRPr="0028727E">
        <w:rPr>
          <w:rFonts w:ascii="Trebuchet MS" w:hAnsi="Trebuchet MS"/>
          <w:szCs w:val="22"/>
          <w:lang w:val="lt-LT"/>
        </w:rPr>
        <w:t xml:space="preserve">Kainodaros taisyklės ir </w:t>
      </w:r>
      <w:r w:rsidR="00C61502" w:rsidRPr="0028727E">
        <w:rPr>
          <w:rFonts w:ascii="Trebuchet MS" w:hAnsi="Trebuchet MS"/>
          <w:lang w:val="lt-LT"/>
        </w:rPr>
        <w:t>Ekonominio bendradarbiavimo</w:t>
      </w:r>
      <w:r w:rsidR="00C61502" w:rsidRPr="00F17ECC">
        <w:rPr>
          <w:rFonts w:ascii="Trebuchet MS" w:hAnsi="Trebuchet MS"/>
          <w:lang w:val="lt-LT"/>
        </w:rPr>
        <w:t xml:space="preserve"> ir plėtros organizacij</w:t>
      </w:r>
      <w:r w:rsidR="00C61502">
        <w:rPr>
          <w:rFonts w:ascii="Trebuchet MS" w:hAnsi="Trebuchet MS"/>
          <w:lang w:val="lt-LT"/>
        </w:rPr>
        <w:t>os</w:t>
      </w:r>
      <w:r w:rsidR="00C61502" w:rsidRPr="00F17ECC">
        <w:rPr>
          <w:rFonts w:ascii="Trebuchet MS" w:hAnsi="Trebuchet MS"/>
          <w:lang w:val="lt-LT"/>
        </w:rPr>
        <w:t xml:space="preserve"> (EBPO)</w:t>
      </w:r>
      <w:r w:rsidR="00C61502">
        <w:rPr>
          <w:rFonts w:ascii="Trebuchet MS" w:hAnsi="Trebuchet MS"/>
          <w:lang w:val="lt-LT"/>
        </w:rPr>
        <w:t xml:space="preserve"> </w:t>
      </w:r>
      <w:r w:rsidR="00C61502" w:rsidRPr="00C61502">
        <w:rPr>
          <w:rFonts w:ascii="Trebuchet MS" w:hAnsi="Trebuchet MS"/>
          <w:szCs w:val="22"/>
          <w:lang w:val="lt-LT"/>
        </w:rPr>
        <w:t>gairės</w:t>
      </w:r>
      <w:r w:rsidR="00C61502" w:rsidRPr="00C61502">
        <w:rPr>
          <w:rStyle w:val="Puslapioinaosnuoroda"/>
          <w:rFonts w:ascii="Trebuchet MS" w:hAnsi="Trebuchet MS"/>
          <w:szCs w:val="22"/>
          <w:lang w:val="lt-LT"/>
        </w:rPr>
        <w:footnoteReference w:id="1"/>
      </w:r>
      <w:r w:rsidR="00C61502" w:rsidRPr="00C61502">
        <w:rPr>
          <w:rFonts w:ascii="Trebuchet MS" w:hAnsi="Trebuchet MS"/>
          <w:szCs w:val="22"/>
          <w:lang w:val="lt-LT"/>
        </w:rPr>
        <w:t xml:space="preserve"> nereguliuoja statistinių metodų taikymo, kadangi tai statistikos dalyko objektas. </w:t>
      </w:r>
      <w:r w:rsidR="00C61502">
        <w:rPr>
          <w:rFonts w:ascii="Trebuchet MS" w:hAnsi="Trebuchet MS"/>
          <w:szCs w:val="22"/>
          <w:lang w:val="lt-LT"/>
        </w:rPr>
        <w:t xml:space="preserve">Atitinkamai mokesčių mokėtojai </w:t>
      </w:r>
      <w:r w:rsidR="00C61502" w:rsidRPr="00C61502">
        <w:rPr>
          <w:rFonts w:ascii="Trebuchet MS" w:hAnsi="Trebuchet MS"/>
          <w:szCs w:val="22"/>
          <w:lang w:val="lt-LT"/>
        </w:rPr>
        <w:t>skaičiavimus tur</w:t>
      </w:r>
      <w:r w:rsidR="00C61502">
        <w:rPr>
          <w:rFonts w:ascii="Trebuchet MS" w:hAnsi="Trebuchet MS"/>
          <w:szCs w:val="22"/>
          <w:lang w:val="lt-LT"/>
        </w:rPr>
        <w:t>i</w:t>
      </w:r>
      <w:r w:rsidR="00C61502" w:rsidRPr="00C61502">
        <w:rPr>
          <w:rFonts w:ascii="Trebuchet MS" w:hAnsi="Trebuchet MS"/>
          <w:szCs w:val="22"/>
          <w:lang w:val="lt-LT"/>
        </w:rPr>
        <w:t xml:space="preserve"> atlikti tokia tvarka, kuri neprieštarau</w:t>
      </w:r>
      <w:r w:rsidR="00C61502">
        <w:rPr>
          <w:rFonts w:ascii="Trebuchet MS" w:hAnsi="Trebuchet MS"/>
          <w:szCs w:val="22"/>
          <w:lang w:val="lt-LT"/>
        </w:rPr>
        <w:t>ja</w:t>
      </w:r>
      <w:r w:rsidR="00C61502" w:rsidRPr="00C61502">
        <w:rPr>
          <w:rFonts w:ascii="Trebuchet MS" w:hAnsi="Trebuchet MS"/>
          <w:szCs w:val="22"/>
          <w:lang w:val="lt-LT"/>
        </w:rPr>
        <w:t xml:space="preserve"> statistikos metodų taikymo principams ir tur</w:t>
      </w:r>
      <w:r w:rsidR="00C61502">
        <w:rPr>
          <w:rFonts w:ascii="Trebuchet MS" w:hAnsi="Trebuchet MS"/>
          <w:szCs w:val="22"/>
          <w:lang w:val="lt-LT"/>
        </w:rPr>
        <w:t>i</w:t>
      </w:r>
      <w:r w:rsidR="00C61502" w:rsidRPr="00C61502">
        <w:rPr>
          <w:rFonts w:ascii="Trebuchet MS" w:hAnsi="Trebuchet MS"/>
          <w:szCs w:val="22"/>
          <w:lang w:val="lt-LT"/>
        </w:rPr>
        <w:t xml:space="preserve"> ekonominę prasmę.</w:t>
      </w:r>
    </w:p>
    <w:p w14:paraId="6B38E298" w14:textId="466D2A9F"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Paprastai atliekami šie žingsniai:</w:t>
      </w:r>
    </w:p>
    <w:p w14:paraId="0059DD61" w14:textId="34A00955"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atlikus palyginimų paiešką ir atrinkus patikimus palyginimus (tiek</w:t>
      </w:r>
      <w:r w:rsidR="001D48C7" w:rsidRPr="00F17ECC">
        <w:rPr>
          <w:rFonts w:ascii="Trebuchet MS" w:hAnsi="Trebuchet MS"/>
          <w:color w:val="000000"/>
          <w:szCs w:val="22"/>
          <w:lang w:val="lt-LT" w:eastAsia="en-US"/>
        </w:rPr>
        <w:t xml:space="preserve"> atlikus</w:t>
      </w:r>
      <w:r w:rsidRPr="00F17ECC">
        <w:rPr>
          <w:rFonts w:ascii="Trebuchet MS" w:hAnsi="Trebuchet MS"/>
          <w:color w:val="000000"/>
          <w:szCs w:val="22"/>
          <w:lang w:val="lt-LT" w:eastAsia="en-US"/>
        </w:rPr>
        <w:t xml:space="preserve"> automatinę atranką, tiek rankinę atrinktųjų palyginimų peržiūrą), surenkama informacija apie šių palyginimų atitinkamus rodiklius (rodiklio rūšis pasirenkama įvertinus konkrečią situaciją ir taikytiną kaino</w:t>
      </w:r>
      <w:r w:rsidR="000B5031" w:rsidRPr="00F17ECC">
        <w:rPr>
          <w:rFonts w:ascii="Trebuchet MS" w:hAnsi="Trebuchet MS"/>
          <w:color w:val="000000"/>
          <w:szCs w:val="22"/>
          <w:lang w:val="lt-LT" w:eastAsia="en-US"/>
        </w:rPr>
        <w:t>d</w:t>
      </w:r>
      <w:r w:rsidRPr="00F17ECC">
        <w:rPr>
          <w:rFonts w:ascii="Trebuchet MS" w:hAnsi="Trebuchet MS"/>
          <w:color w:val="000000"/>
          <w:szCs w:val="22"/>
          <w:lang w:val="lt-LT" w:eastAsia="en-US"/>
        </w:rPr>
        <w:t xml:space="preserve">aros metodą) už </w:t>
      </w:r>
      <w:r w:rsidR="001D48C7" w:rsidRPr="00F17ECC">
        <w:rPr>
          <w:rFonts w:ascii="Trebuchet MS" w:hAnsi="Trebuchet MS"/>
          <w:color w:val="000000"/>
          <w:szCs w:val="22"/>
          <w:lang w:val="lt-LT" w:eastAsia="en-US"/>
        </w:rPr>
        <w:t>atitinkamą</w:t>
      </w:r>
      <w:r w:rsidRPr="00F17ECC">
        <w:rPr>
          <w:rFonts w:ascii="Trebuchet MS" w:hAnsi="Trebuchet MS"/>
          <w:color w:val="000000"/>
          <w:szCs w:val="22"/>
          <w:lang w:val="lt-LT" w:eastAsia="en-US"/>
        </w:rPr>
        <w:t xml:space="preserve"> laikotarpį</w:t>
      </w:r>
      <w:r w:rsidR="0049773F">
        <w:rPr>
          <w:rFonts w:ascii="Trebuchet MS" w:hAnsi="Trebuchet MS"/>
          <w:color w:val="000000"/>
          <w:szCs w:val="22"/>
          <w:lang w:val="lt-LT" w:eastAsia="en-US"/>
        </w:rPr>
        <w:t>;</w:t>
      </w:r>
      <w:r w:rsidRPr="00F17ECC">
        <w:rPr>
          <w:rFonts w:ascii="Trebuchet MS" w:hAnsi="Trebuchet MS"/>
          <w:color w:val="000000"/>
          <w:szCs w:val="22"/>
          <w:lang w:val="lt-LT" w:eastAsia="en-US"/>
        </w:rPr>
        <w:t xml:space="preserve"> </w:t>
      </w:r>
    </w:p>
    <w:p w14:paraId="128E84F8" w14:textId="59A1F3FC"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kiekvieno iš palyginimų atžvilgiu apskaičiuojama vidutinė kelerių metų atitinkamų rodiklių vidurkio reikšmė;</w:t>
      </w:r>
    </w:p>
    <w:p w14:paraId="008FD074" w14:textId="79ADC0C8"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 šių reikšmių aibei pritaikomi kiti statistiniai metodai (įprastai kvartilių skaičiavimo metodas). Tai atliekama siekiant eliminuoti kraštutinius ištiestosios rankos intervalo rezultatus, kurie gali būti netipiški, paveikti išskirtinių aplinkybių, kurių </w:t>
      </w:r>
      <w:r w:rsidR="00EB15A7">
        <w:rPr>
          <w:rFonts w:ascii="Trebuchet MS" w:hAnsi="Trebuchet MS"/>
          <w:color w:val="000000"/>
          <w:szCs w:val="22"/>
          <w:lang w:val="lt-LT" w:eastAsia="en-US"/>
        </w:rPr>
        <w:t xml:space="preserve">tiksliau </w:t>
      </w:r>
      <w:r w:rsidRPr="00F17ECC">
        <w:rPr>
          <w:rFonts w:ascii="Trebuchet MS" w:hAnsi="Trebuchet MS"/>
          <w:color w:val="000000"/>
          <w:szCs w:val="22"/>
          <w:lang w:val="lt-LT" w:eastAsia="en-US"/>
        </w:rPr>
        <w:t xml:space="preserve">nustatyti / įvertinti nėra galimybės. </w:t>
      </w:r>
    </w:p>
    <w:p w14:paraId="5D869D33" w14:textId="4AF94FEC" w:rsidR="003D6BAE" w:rsidRDefault="003D6BAE" w:rsidP="00C9122C">
      <w:pPr>
        <w:autoSpaceDE w:val="0"/>
        <w:autoSpaceDN w:val="0"/>
        <w:adjustRightInd w:val="0"/>
        <w:spacing w:after="0"/>
        <w:ind w:firstLine="720"/>
        <w:jc w:val="both"/>
        <w:rPr>
          <w:rFonts w:ascii="Trebuchet MS" w:hAnsi="Trebuchet MS"/>
          <w:color w:val="000000"/>
          <w:szCs w:val="22"/>
          <w:lang w:val="lt-LT" w:eastAsia="en-US"/>
        </w:rPr>
      </w:pPr>
      <w:r w:rsidRPr="00C61502">
        <w:rPr>
          <w:rFonts w:ascii="Trebuchet MS" w:hAnsi="Trebuchet MS"/>
          <w:szCs w:val="22"/>
          <w:lang w:val="lt-LT"/>
        </w:rPr>
        <w:t>Tai</w:t>
      </w:r>
      <w:r>
        <w:rPr>
          <w:rFonts w:ascii="Trebuchet MS" w:hAnsi="Trebuchet MS"/>
          <w:szCs w:val="22"/>
          <w:lang w:val="lt-LT"/>
        </w:rPr>
        <w:t>gi</w:t>
      </w:r>
      <w:r w:rsidRPr="00C61502">
        <w:rPr>
          <w:rFonts w:ascii="Trebuchet MS" w:hAnsi="Trebuchet MS"/>
          <w:szCs w:val="22"/>
          <w:lang w:val="lt-LT"/>
        </w:rPr>
        <w:t xml:space="preserve"> palyginimų atrankai ir analizei pasir</w:t>
      </w:r>
      <w:r>
        <w:rPr>
          <w:rFonts w:ascii="Trebuchet MS" w:hAnsi="Trebuchet MS"/>
          <w:szCs w:val="22"/>
          <w:lang w:val="lt-LT"/>
        </w:rPr>
        <w:t xml:space="preserve">inkus </w:t>
      </w:r>
      <w:r w:rsidRPr="00C61502">
        <w:rPr>
          <w:rFonts w:ascii="Trebuchet MS" w:hAnsi="Trebuchet MS"/>
          <w:szCs w:val="22"/>
          <w:lang w:val="lt-LT"/>
        </w:rPr>
        <w:t>naudoti ne vienerių, o kelerių metų duomenis</w:t>
      </w:r>
      <w:r>
        <w:rPr>
          <w:rFonts w:ascii="Trebuchet MS" w:hAnsi="Trebuchet MS"/>
          <w:szCs w:val="22"/>
          <w:lang w:val="lt-LT"/>
        </w:rPr>
        <w:t xml:space="preserve">, pasirinktinas </w:t>
      </w:r>
      <w:r w:rsidRPr="00C61502">
        <w:rPr>
          <w:rFonts w:ascii="Trebuchet MS" w:hAnsi="Trebuchet MS"/>
          <w:szCs w:val="22"/>
          <w:lang w:val="lt-LT"/>
        </w:rPr>
        <w:t>statistinių metodų taikymo eiliškumas, k</w:t>
      </w:r>
      <w:r>
        <w:rPr>
          <w:rFonts w:ascii="Trebuchet MS" w:hAnsi="Trebuchet MS"/>
          <w:szCs w:val="22"/>
          <w:lang w:val="lt-LT"/>
        </w:rPr>
        <w:t>uomet</w:t>
      </w:r>
      <w:r w:rsidRPr="00C61502">
        <w:rPr>
          <w:rFonts w:ascii="Trebuchet MS" w:hAnsi="Trebuchet MS"/>
          <w:szCs w:val="22"/>
          <w:lang w:val="lt-LT"/>
        </w:rPr>
        <w:t xml:space="preserve"> pirmiausia apskaičiuojami kiekvienos palyginamosios įmonės pelningumo rodiklių vidurkiai</w:t>
      </w:r>
      <w:r>
        <w:rPr>
          <w:rFonts w:ascii="Trebuchet MS" w:hAnsi="Trebuchet MS"/>
          <w:szCs w:val="22"/>
          <w:lang w:val="lt-LT"/>
        </w:rPr>
        <w:t xml:space="preserve">, </w:t>
      </w:r>
      <w:r w:rsidRPr="00C61502">
        <w:rPr>
          <w:rFonts w:ascii="Trebuchet MS" w:hAnsi="Trebuchet MS"/>
          <w:szCs w:val="22"/>
          <w:lang w:val="lt-LT"/>
        </w:rPr>
        <w:t xml:space="preserve">o tik paskui iš šių duomenų apskaičiuojamas tarpkvartilinis intervalas. </w:t>
      </w:r>
      <w:r>
        <w:rPr>
          <w:rFonts w:ascii="Trebuchet MS" w:hAnsi="Trebuchet MS"/>
          <w:szCs w:val="22"/>
          <w:lang w:val="lt-LT"/>
        </w:rPr>
        <w:t xml:space="preserve">Toks eiliškumas </w:t>
      </w:r>
      <w:r w:rsidRPr="00C61502">
        <w:rPr>
          <w:rFonts w:ascii="Trebuchet MS" w:hAnsi="Trebuchet MS"/>
          <w:szCs w:val="22"/>
          <w:lang w:val="lt-LT"/>
        </w:rPr>
        <w:t xml:space="preserve">yra įprasta ne tik Lietuvos, bet ir užsienio mokesčių administratorių </w:t>
      </w:r>
      <w:r>
        <w:rPr>
          <w:rFonts w:ascii="Trebuchet MS" w:hAnsi="Trebuchet MS"/>
          <w:szCs w:val="22"/>
          <w:lang w:val="lt-LT"/>
        </w:rPr>
        <w:t xml:space="preserve">taikoma </w:t>
      </w:r>
      <w:r w:rsidRPr="00C61502">
        <w:rPr>
          <w:rFonts w:ascii="Trebuchet MS" w:hAnsi="Trebuchet MS"/>
          <w:szCs w:val="22"/>
          <w:lang w:val="lt-LT"/>
        </w:rPr>
        <w:t>praktika</w:t>
      </w:r>
      <w:r>
        <w:rPr>
          <w:rFonts w:ascii="Trebuchet MS" w:hAnsi="Trebuchet MS"/>
          <w:szCs w:val="22"/>
          <w:lang w:val="lt-LT"/>
        </w:rPr>
        <w:t xml:space="preserve">, kuri </w:t>
      </w:r>
      <w:r w:rsidR="00EB15A7">
        <w:rPr>
          <w:rFonts w:ascii="Trebuchet MS" w:hAnsi="Trebuchet MS"/>
          <w:szCs w:val="22"/>
          <w:lang w:val="lt-LT"/>
        </w:rPr>
        <w:t>laikoma</w:t>
      </w:r>
      <w:r>
        <w:rPr>
          <w:rFonts w:ascii="Trebuchet MS" w:hAnsi="Trebuchet MS"/>
          <w:szCs w:val="22"/>
          <w:lang w:val="lt-LT"/>
        </w:rPr>
        <w:t xml:space="preserve"> suderinama su </w:t>
      </w:r>
      <w:r w:rsidRPr="00C61502">
        <w:rPr>
          <w:rFonts w:ascii="Trebuchet MS" w:hAnsi="Trebuchet MS"/>
          <w:szCs w:val="22"/>
          <w:lang w:val="lt-LT"/>
        </w:rPr>
        <w:t>statistikos metodų taikymo princip</w:t>
      </w:r>
      <w:r>
        <w:rPr>
          <w:rFonts w:ascii="Trebuchet MS" w:hAnsi="Trebuchet MS"/>
          <w:szCs w:val="22"/>
          <w:lang w:val="lt-LT"/>
        </w:rPr>
        <w:t xml:space="preserve">ų </w:t>
      </w:r>
      <w:r w:rsidRPr="00C61502">
        <w:rPr>
          <w:rFonts w:ascii="Trebuchet MS" w:hAnsi="Trebuchet MS"/>
          <w:szCs w:val="22"/>
          <w:lang w:val="lt-LT"/>
        </w:rPr>
        <w:t>ekonomin</w:t>
      </w:r>
      <w:r w:rsidR="00F22C33">
        <w:rPr>
          <w:rFonts w:ascii="Trebuchet MS" w:hAnsi="Trebuchet MS"/>
          <w:szCs w:val="22"/>
          <w:lang w:val="lt-LT"/>
        </w:rPr>
        <w:t>e</w:t>
      </w:r>
      <w:r w:rsidRPr="00C61502">
        <w:rPr>
          <w:rFonts w:ascii="Trebuchet MS" w:hAnsi="Trebuchet MS"/>
          <w:szCs w:val="22"/>
          <w:lang w:val="lt-LT"/>
        </w:rPr>
        <w:t xml:space="preserve"> </w:t>
      </w:r>
      <w:r>
        <w:rPr>
          <w:rFonts w:ascii="Trebuchet MS" w:hAnsi="Trebuchet MS"/>
          <w:szCs w:val="22"/>
          <w:lang w:val="lt-LT"/>
        </w:rPr>
        <w:t>logika</w:t>
      </w:r>
      <w:r w:rsidRPr="00C61502">
        <w:rPr>
          <w:rFonts w:ascii="Trebuchet MS" w:hAnsi="Trebuchet MS"/>
          <w:szCs w:val="22"/>
          <w:lang w:val="lt-LT"/>
        </w:rPr>
        <w:t>.</w:t>
      </w:r>
    </w:p>
    <w:p w14:paraId="0983AC91" w14:textId="77777777" w:rsidR="003D6BAE" w:rsidRPr="00F17ECC" w:rsidRDefault="003D6BAE" w:rsidP="00C9122C">
      <w:pPr>
        <w:autoSpaceDE w:val="0"/>
        <w:autoSpaceDN w:val="0"/>
        <w:adjustRightInd w:val="0"/>
        <w:spacing w:after="0"/>
        <w:ind w:firstLine="720"/>
        <w:jc w:val="both"/>
        <w:rPr>
          <w:rFonts w:ascii="Trebuchet MS" w:hAnsi="Trebuchet MS"/>
          <w:color w:val="000000"/>
          <w:szCs w:val="22"/>
          <w:lang w:val="lt-LT" w:eastAsia="en-US"/>
        </w:rPr>
      </w:pPr>
    </w:p>
    <w:p w14:paraId="4131A02B" w14:textId="38AC0853" w:rsidR="00DB58D3" w:rsidRPr="00F17ECC" w:rsidRDefault="00DB58D3" w:rsidP="00DB58D3">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i/>
          <w:color w:val="000000"/>
          <w:szCs w:val="22"/>
          <w:lang w:val="lt-LT" w:eastAsia="en-US"/>
        </w:rPr>
        <w:lastRenderedPageBreak/>
        <w:t>Pavyzdys</w:t>
      </w:r>
      <w:r w:rsidRPr="00F17ECC">
        <w:rPr>
          <w:rFonts w:ascii="Trebuchet MS" w:hAnsi="Trebuchet MS"/>
          <w:color w:val="000000"/>
          <w:szCs w:val="22"/>
          <w:lang w:val="lt-LT" w:eastAsia="en-US"/>
        </w:rPr>
        <w:t xml:space="preserve">. Siekiant nustatyti sandorių tarp įmonės </w:t>
      </w:r>
      <w:r w:rsidR="00830824">
        <w:rPr>
          <w:rFonts w:ascii="Trebuchet MS" w:hAnsi="Trebuchet MS"/>
          <w:color w:val="000000"/>
          <w:szCs w:val="22"/>
          <w:lang w:val="lt-LT" w:eastAsia="en-US"/>
        </w:rPr>
        <w:t>A</w:t>
      </w:r>
      <w:r w:rsidRPr="00F17ECC">
        <w:rPr>
          <w:rFonts w:ascii="Trebuchet MS" w:hAnsi="Trebuchet MS"/>
          <w:color w:val="000000"/>
          <w:szCs w:val="22"/>
          <w:lang w:val="lt-LT" w:eastAsia="en-US"/>
        </w:rPr>
        <w:t xml:space="preserve"> ir įmonės </w:t>
      </w:r>
      <w:r w:rsidR="00830824">
        <w:rPr>
          <w:rFonts w:ascii="Trebuchet MS" w:hAnsi="Trebuchet MS"/>
          <w:color w:val="000000"/>
          <w:szCs w:val="22"/>
          <w:lang w:val="lt-LT" w:eastAsia="en-US"/>
        </w:rPr>
        <w:t>B</w:t>
      </w:r>
      <w:r w:rsidRPr="00F17ECC">
        <w:rPr>
          <w:rFonts w:ascii="Trebuchet MS" w:hAnsi="Trebuchet MS"/>
          <w:color w:val="000000"/>
          <w:szCs w:val="22"/>
          <w:lang w:val="lt-LT" w:eastAsia="en-US"/>
        </w:rPr>
        <w:t xml:space="preserve"> </w:t>
      </w:r>
      <w:r w:rsidR="0049773F">
        <w:rPr>
          <w:rFonts w:ascii="Trebuchet MS" w:hAnsi="Trebuchet MS"/>
          <w:color w:val="000000"/>
          <w:szCs w:val="22"/>
          <w:lang w:val="lt-LT" w:eastAsia="en-US"/>
        </w:rPr>
        <w:t xml:space="preserve">kainų </w:t>
      </w:r>
      <w:r w:rsidRPr="00F17ECC">
        <w:rPr>
          <w:rFonts w:ascii="Trebuchet MS" w:hAnsi="Trebuchet MS"/>
          <w:color w:val="000000"/>
          <w:szCs w:val="22"/>
          <w:lang w:val="lt-LT" w:eastAsia="en-US"/>
        </w:rPr>
        <w:t>atitikimą IRP, buvo atlikta palygin</w:t>
      </w:r>
      <w:r w:rsidR="00D17FE1" w:rsidRPr="00F17ECC">
        <w:rPr>
          <w:rFonts w:ascii="Trebuchet MS" w:hAnsi="Trebuchet MS"/>
          <w:color w:val="000000"/>
          <w:szCs w:val="22"/>
          <w:lang w:val="lt-LT" w:eastAsia="en-US"/>
        </w:rPr>
        <w:t>imų</w:t>
      </w:r>
      <w:r w:rsidRPr="00F17ECC">
        <w:rPr>
          <w:rFonts w:ascii="Trebuchet MS" w:hAnsi="Trebuchet MS"/>
          <w:color w:val="000000"/>
          <w:szCs w:val="22"/>
          <w:lang w:val="lt-LT" w:eastAsia="en-US"/>
        </w:rPr>
        <w:t xml:space="preserve"> paieška duomenų bazėje. Rasta 10 palyginamųjų įmonių. Atsižvelgiant į tai, kad palygin</w:t>
      </w:r>
      <w:r w:rsidR="00D17FE1" w:rsidRPr="00F17ECC">
        <w:rPr>
          <w:rFonts w:ascii="Trebuchet MS" w:hAnsi="Trebuchet MS"/>
          <w:color w:val="000000"/>
          <w:szCs w:val="22"/>
          <w:lang w:val="lt-LT" w:eastAsia="en-US"/>
        </w:rPr>
        <w:t>im</w:t>
      </w:r>
      <w:r w:rsidRPr="00F17ECC">
        <w:rPr>
          <w:rFonts w:ascii="Trebuchet MS" w:hAnsi="Trebuchet MS"/>
          <w:color w:val="000000"/>
          <w:szCs w:val="22"/>
          <w:lang w:val="lt-LT" w:eastAsia="en-US"/>
        </w:rPr>
        <w:t>ų ieškota 20X5 m. buvo naudoti trejų metų duomenys 20X2, 20X3 ir 20X4 m., siekiant išvengti netipinių duomenų poveikio galutiniam rezultatui. Pasirinktas rodiklis – antkainio nuo visų veiklos sąnaudų rodiklis</w:t>
      </w:r>
      <w:r w:rsidRPr="00F17ECC">
        <w:rPr>
          <w:rStyle w:val="Puslapioinaosnuoroda"/>
          <w:rFonts w:ascii="Trebuchet MS" w:hAnsi="Trebuchet MS"/>
          <w:color w:val="000000"/>
          <w:szCs w:val="22"/>
          <w:lang w:val="lt-LT" w:eastAsia="en-US"/>
        </w:rPr>
        <w:footnoteReference w:id="2"/>
      </w:r>
      <w:r w:rsidRPr="00F17ECC">
        <w:rPr>
          <w:rFonts w:ascii="Trebuchet MS" w:hAnsi="Trebuchet MS"/>
          <w:color w:val="000000"/>
          <w:szCs w:val="22"/>
          <w:lang w:val="lt-LT" w:eastAsia="en-US"/>
        </w:rPr>
        <w:t xml:space="preserve">. Gauti </w:t>
      </w:r>
      <w:r w:rsidR="00D17FE1" w:rsidRPr="00F17ECC">
        <w:rPr>
          <w:rFonts w:ascii="Trebuchet MS" w:hAnsi="Trebuchet MS"/>
          <w:color w:val="000000"/>
          <w:szCs w:val="22"/>
          <w:lang w:val="lt-LT" w:eastAsia="en-US"/>
        </w:rPr>
        <w:t>antkainių nuo visų veiklos sąnaudų rodiklių</w:t>
      </w:r>
      <w:r w:rsidRPr="00F17ECC">
        <w:rPr>
          <w:rFonts w:ascii="Trebuchet MS" w:hAnsi="Trebuchet MS"/>
          <w:color w:val="000000"/>
          <w:szCs w:val="22"/>
          <w:lang w:val="lt-LT" w:eastAsia="en-US"/>
        </w:rPr>
        <w:t xml:space="preserve"> duomenys pateikiami lentelėje (skaičiuotas paprastasis (ar</w:t>
      </w:r>
      <w:r w:rsidR="001D11B1">
        <w:rPr>
          <w:rFonts w:ascii="Trebuchet MS" w:hAnsi="Trebuchet MS"/>
          <w:color w:val="000000"/>
          <w:szCs w:val="22"/>
          <w:lang w:val="lt-LT" w:eastAsia="en-US"/>
        </w:rPr>
        <w:t>i</w:t>
      </w:r>
      <w:r w:rsidRPr="00F17ECC">
        <w:rPr>
          <w:rFonts w:ascii="Trebuchet MS" w:hAnsi="Trebuchet MS"/>
          <w:color w:val="000000"/>
          <w:szCs w:val="22"/>
          <w:lang w:val="lt-LT" w:eastAsia="en-US"/>
        </w:rPr>
        <w:t>tmetinis) vidurkis):</w:t>
      </w:r>
    </w:p>
    <w:p w14:paraId="36A0A029" w14:textId="77777777" w:rsidR="00A70F6B" w:rsidRPr="00F17ECC" w:rsidRDefault="00A70F6B"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1 lentelė</w:t>
      </w:r>
    </w:p>
    <w:tbl>
      <w:tblPr>
        <w:tblW w:w="5000" w:type="pct"/>
        <w:tblLayout w:type="fixed"/>
        <w:tblLook w:val="0000" w:firstRow="0" w:lastRow="0" w:firstColumn="0" w:lastColumn="0" w:noHBand="0" w:noVBand="0"/>
      </w:tblPr>
      <w:tblGrid>
        <w:gridCol w:w="1407"/>
        <w:gridCol w:w="1277"/>
        <w:gridCol w:w="1275"/>
        <w:gridCol w:w="1275"/>
        <w:gridCol w:w="4384"/>
      </w:tblGrid>
      <w:tr w:rsidR="00431F81" w:rsidRPr="00F17ECC" w14:paraId="1BBB973C" w14:textId="77777777" w:rsidTr="00431F81">
        <w:trPr>
          <w:trHeight w:val="121"/>
        </w:trPr>
        <w:tc>
          <w:tcPr>
            <w:tcW w:w="731" w:type="pct"/>
            <w:tcBorders>
              <w:top w:val="single" w:sz="8" w:space="0" w:color="auto"/>
              <w:left w:val="single" w:sz="8" w:space="0" w:color="auto"/>
              <w:bottom w:val="single" w:sz="8" w:space="0" w:color="auto"/>
              <w:right w:val="single" w:sz="8" w:space="0" w:color="auto"/>
            </w:tcBorders>
            <w:shd w:val="clear" w:color="auto" w:fill="auto"/>
            <w:vAlign w:val="center"/>
          </w:tcPr>
          <w:p w14:paraId="4B2D222E" w14:textId="20289444" w:rsidR="00A70F6B" w:rsidRPr="00F17ECC" w:rsidRDefault="00D17FE1" w:rsidP="00C9122C">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P</w:t>
            </w:r>
            <w:r w:rsidR="00A70F6B" w:rsidRPr="00F17ECC">
              <w:rPr>
                <w:rFonts w:ascii="Trebuchet MS" w:hAnsi="Trebuchet MS"/>
                <w:color w:val="000000"/>
                <w:szCs w:val="22"/>
                <w:lang w:val="lt-LT" w:eastAsia="en-US"/>
              </w:rPr>
              <w:t>alygin</w:t>
            </w:r>
            <w:r w:rsidR="00431F81">
              <w:rPr>
                <w:rFonts w:ascii="Trebuchet MS" w:hAnsi="Trebuchet MS"/>
                <w:color w:val="000000"/>
                <w:szCs w:val="22"/>
                <w:lang w:val="lt-LT" w:eastAsia="en-US"/>
              </w:rPr>
              <w:t>imai</w:t>
            </w:r>
          </w:p>
        </w:tc>
        <w:tc>
          <w:tcPr>
            <w:tcW w:w="664" w:type="pct"/>
            <w:tcBorders>
              <w:top w:val="single" w:sz="8" w:space="0" w:color="auto"/>
              <w:left w:val="nil"/>
              <w:bottom w:val="single" w:sz="8" w:space="0" w:color="auto"/>
              <w:right w:val="single" w:sz="4" w:space="0" w:color="auto"/>
            </w:tcBorders>
            <w:shd w:val="clear" w:color="auto" w:fill="auto"/>
            <w:noWrap/>
            <w:vAlign w:val="center"/>
          </w:tcPr>
          <w:p w14:paraId="1D851E06" w14:textId="77777777" w:rsidR="00A70F6B" w:rsidRPr="00F17ECC" w:rsidRDefault="00A70F6B" w:rsidP="00C9122C">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20X2 m., %</w:t>
            </w:r>
          </w:p>
        </w:tc>
        <w:tc>
          <w:tcPr>
            <w:tcW w:w="663" w:type="pct"/>
            <w:tcBorders>
              <w:top w:val="single" w:sz="8" w:space="0" w:color="auto"/>
              <w:left w:val="nil"/>
              <w:bottom w:val="single" w:sz="8" w:space="0" w:color="auto"/>
              <w:right w:val="single" w:sz="4" w:space="0" w:color="auto"/>
            </w:tcBorders>
            <w:shd w:val="clear" w:color="auto" w:fill="auto"/>
            <w:noWrap/>
            <w:vAlign w:val="center"/>
          </w:tcPr>
          <w:p w14:paraId="16DD8175" w14:textId="77777777" w:rsidR="00A70F6B" w:rsidRPr="00F17ECC" w:rsidRDefault="00A70F6B" w:rsidP="00C9122C">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20X3 m., % </w:t>
            </w:r>
          </w:p>
        </w:tc>
        <w:tc>
          <w:tcPr>
            <w:tcW w:w="663" w:type="pct"/>
            <w:tcBorders>
              <w:top w:val="single" w:sz="8" w:space="0" w:color="auto"/>
              <w:left w:val="nil"/>
              <w:bottom w:val="single" w:sz="8" w:space="0" w:color="auto"/>
              <w:right w:val="single" w:sz="4" w:space="0" w:color="auto"/>
            </w:tcBorders>
            <w:shd w:val="clear" w:color="auto" w:fill="auto"/>
            <w:noWrap/>
            <w:vAlign w:val="center"/>
          </w:tcPr>
          <w:p w14:paraId="4ABC1E99" w14:textId="77777777" w:rsidR="00A70F6B" w:rsidRPr="00F17ECC" w:rsidRDefault="00A70F6B" w:rsidP="00C9122C">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20X4 m., %</w:t>
            </w:r>
          </w:p>
        </w:tc>
        <w:tc>
          <w:tcPr>
            <w:tcW w:w="2279" w:type="pct"/>
            <w:tcBorders>
              <w:top w:val="single" w:sz="8" w:space="0" w:color="auto"/>
              <w:left w:val="nil"/>
              <w:bottom w:val="single" w:sz="8" w:space="0" w:color="auto"/>
              <w:right w:val="single" w:sz="8" w:space="0" w:color="auto"/>
            </w:tcBorders>
            <w:shd w:val="clear" w:color="auto" w:fill="auto"/>
            <w:noWrap/>
            <w:vAlign w:val="center"/>
          </w:tcPr>
          <w:p w14:paraId="2DEEBD28" w14:textId="67BCF063" w:rsidR="00A70F6B" w:rsidRPr="00F17ECC" w:rsidRDefault="00F2718A" w:rsidP="00C9122C">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Antkainio nuo visų veiklos sąnaudų</w:t>
            </w:r>
            <w:r w:rsidR="0014432F" w:rsidRPr="00F17ECC">
              <w:rPr>
                <w:rFonts w:ascii="Trebuchet MS" w:hAnsi="Trebuchet MS"/>
                <w:color w:val="000000"/>
                <w:szCs w:val="22"/>
                <w:lang w:val="lt-LT" w:eastAsia="en-US"/>
              </w:rPr>
              <w:t xml:space="preserve"> rodiklių vidurkis</w:t>
            </w:r>
            <w:r w:rsidR="00A70F6B" w:rsidRPr="00F17ECC">
              <w:rPr>
                <w:rFonts w:ascii="Trebuchet MS" w:hAnsi="Trebuchet MS"/>
                <w:color w:val="000000"/>
                <w:szCs w:val="22"/>
                <w:lang w:val="lt-LT" w:eastAsia="en-US"/>
              </w:rPr>
              <w:t>, %</w:t>
            </w:r>
          </w:p>
        </w:tc>
      </w:tr>
      <w:tr w:rsidR="00431F81" w:rsidRPr="00F17ECC" w14:paraId="013515D2" w14:textId="77777777" w:rsidTr="00C61502">
        <w:trPr>
          <w:trHeight w:val="255"/>
        </w:trPr>
        <w:tc>
          <w:tcPr>
            <w:tcW w:w="731" w:type="pct"/>
            <w:tcBorders>
              <w:top w:val="nil"/>
              <w:left w:val="single" w:sz="8" w:space="0" w:color="auto"/>
              <w:bottom w:val="single" w:sz="4" w:space="0" w:color="auto"/>
              <w:right w:val="single" w:sz="8" w:space="0" w:color="auto"/>
            </w:tcBorders>
            <w:shd w:val="clear" w:color="auto" w:fill="auto"/>
            <w:noWrap/>
            <w:vAlign w:val="bottom"/>
          </w:tcPr>
          <w:p w14:paraId="119A4FB7"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1</w:t>
            </w:r>
          </w:p>
        </w:tc>
        <w:tc>
          <w:tcPr>
            <w:tcW w:w="664" w:type="pct"/>
            <w:tcBorders>
              <w:top w:val="nil"/>
              <w:left w:val="nil"/>
              <w:bottom w:val="single" w:sz="4" w:space="0" w:color="auto"/>
              <w:right w:val="single" w:sz="4" w:space="0" w:color="auto"/>
            </w:tcBorders>
            <w:shd w:val="clear" w:color="auto" w:fill="auto"/>
            <w:noWrap/>
            <w:vAlign w:val="bottom"/>
          </w:tcPr>
          <w:p w14:paraId="67F0C94A" w14:textId="556C7894"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11,2</w:t>
            </w:r>
          </w:p>
        </w:tc>
        <w:tc>
          <w:tcPr>
            <w:tcW w:w="663" w:type="pct"/>
            <w:tcBorders>
              <w:top w:val="nil"/>
              <w:left w:val="nil"/>
              <w:bottom w:val="single" w:sz="4" w:space="0" w:color="auto"/>
              <w:right w:val="single" w:sz="4" w:space="0" w:color="auto"/>
            </w:tcBorders>
            <w:shd w:val="clear" w:color="auto" w:fill="auto"/>
            <w:noWrap/>
            <w:vAlign w:val="bottom"/>
          </w:tcPr>
          <w:p w14:paraId="1B67035D" w14:textId="67BE13C0"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7,7</w:t>
            </w:r>
          </w:p>
        </w:tc>
        <w:tc>
          <w:tcPr>
            <w:tcW w:w="663" w:type="pct"/>
            <w:tcBorders>
              <w:top w:val="nil"/>
              <w:left w:val="nil"/>
              <w:bottom w:val="single" w:sz="4" w:space="0" w:color="auto"/>
              <w:right w:val="single" w:sz="4" w:space="0" w:color="auto"/>
            </w:tcBorders>
            <w:shd w:val="clear" w:color="auto" w:fill="auto"/>
            <w:noWrap/>
            <w:vAlign w:val="bottom"/>
          </w:tcPr>
          <w:p w14:paraId="59F8B457" w14:textId="639EDCD9"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8,1</w:t>
            </w:r>
          </w:p>
        </w:tc>
        <w:tc>
          <w:tcPr>
            <w:tcW w:w="2279" w:type="pct"/>
            <w:tcBorders>
              <w:top w:val="nil"/>
              <w:left w:val="nil"/>
              <w:bottom w:val="single" w:sz="4" w:space="0" w:color="auto"/>
              <w:right w:val="single" w:sz="8" w:space="0" w:color="auto"/>
            </w:tcBorders>
            <w:shd w:val="clear" w:color="auto" w:fill="auto"/>
            <w:noWrap/>
            <w:vAlign w:val="center"/>
          </w:tcPr>
          <w:p w14:paraId="352B583B" w14:textId="73763033"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9,0</w:t>
            </w:r>
          </w:p>
        </w:tc>
      </w:tr>
      <w:tr w:rsidR="00431F81" w:rsidRPr="00F17ECC" w14:paraId="57A9C2FB" w14:textId="77777777" w:rsidTr="00CA7213">
        <w:trPr>
          <w:trHeight w:val="255"/>
        </w:trPr>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976E5"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2</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2DE3F" w14:textId="4893567E"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9,8</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4F36D" w14:textId="3ED1E800"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13,3</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B5C96" w14:textId="5E89EAE9"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11,2</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BC4FA" w14:textId="7A430E36"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11,4</w:t>
            </w:r>
          </w:p>
        </w:tc>
      </w:tr>
      <w:tr w:rsidR="00431F81" w:rsidRPr="00F17ECC" w14:paraId="3A97F40D" w14:textId="77777777" w:rsidTr="00CA7213">
        <w:trPr>
          <w:trHeight w:val="255"/>
        </w:trPr>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5F5D5"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3</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4D1D5" w14:textId="75E60F8F"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4,4</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2AFF8" w14:textId="609BC6EF"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3,4</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5A3E6" w14:textId="6EDA5BC6"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3,7</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D6A1F" w14:textId="13B29DFB"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3,8</w:t>
            </w:r>
          </w:p>
        </w:tc>
      </w:tr>
      <w:tr w:rsidR="00431F81" w:rsidRPr="00F17ECC" w14:paraId="247E7BFE" w14:textId="77777777" w:rsidTr="00CA7213">
        <w:trPr>
          <w:trHeight w:val="255"/>
        </w:trPr>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31959"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4</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03BA7" w14:textId="2E74BED2"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15,1</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D6B15" w14:textId="336D6C30"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7,5</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1D061" w14:textId="5B1BE651"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7,9</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40B94" w14:textId="7D5C4432"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10,2</w:t>
            </w:r>
          </w:p>
        </w:tc>
      </w:tr>
      <w:tr w:rsidR="00431F81" w:rsidRPr="00F17ECC" w14:paraId="5FA64A88" w14:textId="77777777" w:rsidTr="00CA7213">
        <w:trPr>
          <w:trHeight w:val="255"/>
        </w:trPr>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16DD3"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5</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F0D4D" w14:textId="056F2BC8"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21,7</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DE7B1" w14:textId="2AE7314D"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11,3</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E24EE" w14:textId="20FF6956"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15,8</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B77B5" w14:textId="0A678326"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16,3</w:t>
            </w:r>
          </w:p>
        </w:tc>
      </w:tr>
      <w:tr w:rsidR="00431F81" w:rsidRPr="00F17ECC" w14:paraId="3ABD69FC" w14:textId="77777777" w:rsidTr="00CA7213">
        <w:trPr>
          <w:trHeight w:val="255"/>
        </w:trPr>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D175C"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6</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5E11D" w14:textId="5B201A86"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2,6</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9F452" w14:textId="1F3153A0"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4,0</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EBF02" w14:textId="11748D0E"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5,7</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2AC08" w14:textId="280CD8EC"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4,1</w:t>
            </w:r>
          </w:p>
        </w:tc>
      </w:tr>
      <w:tr w:rsidR="00431F81" w:rsidRPr="00F17ECC" w14:paraId="3C9B4408" w14:textId="77777777" w:rsidTr="00CA7213">
        <w:trPr>
          <w:trHeight w:val="255"/>
        </w:trPr>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7E293"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7</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C1086" w14:textId="3CE95BE1"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5,2</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2A68A" w14:textId="62E0B2B1"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11,6</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BEF5F" w14:textId="156038EA"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7,0</w:t>
            </w:r>
          </w:p>
        </w:tc>
        <w:tc>
          <w:tcPr>
            <w:tcW w:w="2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AF749" w14:textId="074AB61F"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8,0</w:t>
            </w:r>
          </w:p>
        </w:tc>
      </w:tr>
      <w:tr w:rsidR="00431F81" w:rsidRPr="00F17ECC" w14:paraId="183990D1" w14:textId="77777777" w:rsidTr="00431F81">
        <w:trPr>
          <w:trHeight w:val="255"/>
        </w:trPr>
        <w:tc>
          <w:tcPr>
            <w:tcW w:w="731" w:type="pct"/>
            <w:tcBorders>
              <w:top w:val="nil"/>
              <w:left w:val="single" w:sz="8" w:space="0" w:color="auto"/>
              <w:bottom w:val="single" w:sz="4" w:space="0" w:color="auto"/>
              <w:right w:val="single" w:sz="8" w:space="0" w:color="auto"/>
            </w:tcBorders>
            <w:shd w:val="clear" w:color="auto" w:fill="auto"/>
            <w:noWrap/>
            <w:vAlign w:val="bottom"/>
          </w:tcPr>
          <w:p w14:paraId="065C2635" w14:textId="77777777"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Įmonė 8</w:t>
            </w:r>
          </w:p>
        </w:tc>
        <w:tc>
          <w:tcPr>
            <w:tcW w:w="664" w:type="pct"/>
            <w:tcBorders>
              <w:top w:val="nil"/>
              <w:left w:val="nil"/>
              <w:bottom w:val="single" w:sz="4" w:space="0" w:color="auto"/>
              <w:right w:val="single" w:sz="4" w:space="0" w:color="auto"/>
            </w:tcBorders>
            <w:shd w:val="clear" w:color="auto" w:fill="auto"/>
            <w:noWrap/>
            <w:vAlign w:val="bottom"/>
          </w:tcPr>
          <w:p w14:paraId="18326013" w14:textId="4A1F67E0"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7,6</w:t>
            </w:r>
          </w:p>
        </w:tc>
        <w:tc>
          <w:tcPr>
            <w:tcW w:w="663" w:type="pct"/>
            <w:tcBorders>
              <w:top w:val="nil"/>
              <w:left w:val="nil"/>
              <w:bottom w:val="single" w:sz="4" w:space="0" w:color="auto"/>
              <w:right w:val="single" w:sz="4" w:space="0" w:color="auto"/>
            </w:tcBorders>
            <w:shd w:val="clear" w:color="auto" w:fill="auto"/>
            <w:noWrap/>
            <w:vAlign w:val="bottom"/>
          </w:tcPr>
          <w:p w14:paraId="5F9C81CE" w14:textId="653FF412"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0F1754">
              <w:rPr>
                <w:rFonts w:ascii="Trebuchet MS" w:hAnsi="Trebuchet MS" w:cs="Calibri"/>
                <w:color w:val="000000"/>
                <w:szCs w:val="22"/>
                <w:lang w:val="lt-LT"/>
              </w:rPr>
              <w:t>-6,3</w:t>
            </w:r>
          </w:p>
        </w:tc>
        <w:tc>
          <w:tcPr>
            <w:tcW w:w="663" w:type="pct"/>
            <w:tcBorders>
              <w:top w:val="nil"/>
              <w:left w:val="nil"/>
              <w:bottom w:val="single" w:sz="4" w:space="0" w:color="auto"/>
              <w:right w:val="single" w:sz="4" w:space="0" w:color="auto"/>
            </w:tcBorders>
            <w:shd w:val="clear" w:color="auto" w:fill="auto"/>
            <w:noWrap/>
            <w:vAlign w:val="bottom"/>
          </w:tcPr>
          <w:p w14:paraId="122CB1ED" w14:textId="0A5BCF82"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10,1</w:t>
            </w:r>
          </w:p>
        </w:tc>
        <w:tc>
          <w:tcPr>
            <w:tcW w:w="2279" w:type="pct"/>
            <w:tcBorders>
              <w:top w:val="nil"/>
              <w:left w:val="nil"/>
              <w:bottom w:val="single" w:sz="4" w:space="0" w:color="auto"/>
              <w:right w:val="single" w:sz="8" w:space="0" w:color="auto"/>
            </w:tcBorders>
            <w:shd w:val="clear" w:color="auto" w:fill="auto"/>
            <w:noWrap/>
            <w:vAlign w:val="center"/>
          </w:tcPr>
          <w:p w14:paraId="57B28EC3" w14:textId="61834B5A" w:rsidR="00F2718A" w:rsidRPr="00F17ECC" w:rsidRDefault="000F1754" w:rsidP="00F2718A">
            <w:pPr>
              <w:autoSpaceDE w:val="0"/>
              <w:autoSpaceDN w:val="0"/>
              <w:adjustRightInd w:val="0"/>
              <w:spacing w:after="0"/>
              <w:jc w:val="center"/>
              <w:rPr>
                <w:rFonts w:ascii="Trebuchet MS" w:hAnsi="Trebuchet MS"/>
                <w:color w:val="000000"/>
                <w:szCs w:val="22"/>
                <w:lang w:val="lt-LT" w:eastAsia="en-US"/>
              </w:rPr>
            </w:pPr>
            <w:r>
              <w:rPr>
                <w:rFonts w:ascii="Trebuchet MS" w:hAnsi="Trebuchet MS" w:cs="Calibri"/>
                <w:color w:val="000000"/>
                <w:szCs w:val="22"/>
                <w:lang w:val="lt-LT"/>
              </w:rPr>
              <w:t>3,8</w:t>
            </w:r>
          </w:p>
        </w:tc>
      </w:tr>
      <w:tr w:rsidR="00431F81" w:rsidRPr="00F17ECC" w14:paraId="6F29BDEE" w14:textId="77777777" w:rsidTr="00431F81">
        <w:trPr>
          <w:trHeight w:val="255"/>
        </w:trPr>
        <w:tc>
          <w:tcPr>
            <w:tcW w:w="731" w:type="pct"/>
            <w:tcBorders>
              <w:top w:val="nil"/>
              <w:left w:val="single" w:sz="8" w:space="0" w:color="auto"/>
              <w:bottom w:val="single" w:sz="4" w:space="0" w:color="auto"/>
              <w:right w:val="single" w:sz="8" w:space="0" w:color="auto"/>
            </w:tcBorders>
            <w:shd w:val="clear" w:color="auto" w:fill="auto"/>
            <w:noWrap/>
            <w:vAlign w:val="bottom"/>
          </w:tcPr>
          <w:p w14:paraId="530D4406" w14:textId="72E34269" w:rsidR="00F2718A" w:rsidRPr="00F17ECC" w:rsidRDefault="00F2718A" w:rsidP="00F2718A">
            <w:pPr>
              <w:autoSpaceDE w:val="0"/>
              <w:autoSpaceDN w:val="0"/>
              <w:adjustRightInd w:val="0"/>
              <w:spacing w:after="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Įmonė </w:t>
            </w:r>
            <w:r w:rsidR="00DB58D3" w:rsidRPr="00F17ECC">
              <w:rPr>
                <w:rFonts w:ascii="Trebuchet MS" w:hAnsi="Trebuchet MS"/>
                <w:color w:val="000000"/>
                <w:szCs w:val="22"/>
                <w:lang w:val="lt-LT" w:eastAsia="en-US"/>
              </w:rPr>
              <w:t>9</w:t>
            </w:r>
          </w:p>
        </w:tc>
        <w:tc>
          <w:tcPr>
            <w:tcW w:w="664" w:type="pct"/>
            <w:tcBorders>
              <w:top w:val="nil"/>
              <w:left w:val="nil"/>
              <w:bottom w:val="single" w:sz="4" w:space="0" w:color="auto"/>
              <w:right w:val="single" w:sz="4" w:space="0" w:color="auto"/>
            </w:tcBorders>
            <w:shd w:val="clear" w:color="auto" w:fill="auto"/>
            <w:noWrap/>
            <w:vAlign w:val="bottom"/>
          </w:tcPr>
          <w:p w14:paraId="3EF78D0C" w14:textId="2C2413C4" w:rsidR="00F2718A" w:rsidRPr="00F17ECC" w:rsidRDefault="00F2718A" w:rsidP="00F2718A">
            <w:pPr>
              <w:autoSpaceDE w:val="0"/>
              <w:autoSpaceDN w:val="0"/>
              <w:adjustRightInd w:val="0"/>
              <w:spacing w:after="0"/>
              <w:rPr>
                <w:rFonts w:ascii="Trebuchet MS" w:hAnsi="Trebuchet MS"/>
                <w:color w:val="000000"/>
                <w:szCs w:val="22"/>
                <w:lang w:val="lt-LT" w:eastAsia="en-US"/>
              </w:rPr>
            </w:pPr>
            <w:r w:rsidRPr="00F17ECC">
              <w:rPr>
                <w:rFonts w:ascii="Trebuchet MS" w:hAnsi="Trebuchet MS" w:cs="Calibri"/>
                <w:color w:val="000000"/>
                <w:szCs w:val="22"/>
                <w:lang w:val="lt-LT"/>
              </w:rPr>
              <w:t>1,0</w:t>
            </w:r>
          </w:p>
        </w:tc>
        <w:tc>
          <w:tcPr>
            <w:tcW w:w="663" w:type="pct"/>
            <w:tcBorders>
              <w:top w:val="nil"/>
              <w:left w:val="nil"/>
              <w:bottom w:val="single" w:sz="4" w:space="0" w:color="auto"/>
              <w:right w:val="single" w:sz="4" w:space="0" w:color="auto"/>
            </w:tcBorders>
            <w:shd w:val="clear" w:color="auto" w:fill="auto"/>
            <w:noWrap/>
            <w:vAlign w:val="bottom"/>
          </w:tcPr>
          <w:p w14:paraId="39EACA4B" w14:textId="5887F8B3"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1,7</w:t>
            </w:r>
          </w:p>
        </w:tc>
        <w:tc>
          <w:tcPr>
            <w:tcW w:w="663" w:type="pct"/>
            <w:tcBorders>
              <w:top w:val="nil"/>
              <w:left w:val="nil"/>
              <w:bottom w:val="single" w:sz="4" w:space="0" w:color="auto"/>
              <w:right w:val="single" w:sz="4" w:space="0" w:color="auto"/>
            </w:tcBorders>
            <w:shd w:val="clear" w:color="auto" w:fill="auto"/>
            <w:noWrap/>
            <w:vAlign w:val="bottom"/>
          </w:tcPr>
          <w:p w14:paraId="7F5F7D47" w14:textId="08868ABB"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4,7</w:t>
            </w:r>
          </w:p>
        </w:tc>
        <w:tc>
          <w:tcPr>
            <w:tcW w:w="2279" w:type="pct"/>
            <w:tcBorders>
              <w:top w:val="nil"/>
              <w:left w:val="nil"/>
              <w:bottom w:val="single" w:sz="4" w:space="0" w:color="auto"/>
              <w:right w:val="single" w:sz="8" w:space="0" w:color="auto"/>
            </w:tcBorders>
            <w:shd w:val="clear" w:color="auto" w:fill="auto"/>
            <w:noWrap/>
            <w:vAlign w:val="center"/>
          </w:tcPr>
          <w:p w14:paraId="0D560B6D" w14:textId="6D6AB18B" w:rsidR="00F2718A" w:rsidRPr="00F17ECC" w:rsidRDefault="00F2718A" w:rsidP="00F2718A">
            <w:pPr>
              <w:autoSpaceDE w:val="0"/>
              <w:autoSpaceDN w:val="0"/>
              <w:adjustRightInd w:val="0"/>
              <w:spacing w:after="0"/>
              <w:jc w:val="center"/>
              <w:rPr>
                <w:rFonts w:ascii="Trebuchet MS" w:hAnsi="Trebuchet MS"/>
                <w:color w:val="000000"/>
                <w:szCs w:val="22"/>
                <w:lang w:val="lt-LT" w:eastAsia="en-US"/>
              </w:rPr>
            </w:pPr>
            <w:r w:rsidRPr="00F17ECC">
              <w:rPr>
                <w:rFonts w:ascii="Trebuchet MS" w:hAnsi="Trebuchet MS" w:cs="Calibri"/>
                <w:color w:val="000000"/>
                <w:szCs w:val="22"/>
                <w:lang w:val="lt-LT"/>
              </w:rPr>
              <w:t>2,5</w:t>
            </w:r>
          </w:p>
        </w:tc>
      </w:tr>
      <w:tr w:rsidR="0014432F" w:rsidRPr="00F17ECC" w14:paraId="3A44D437" w14:textId="77777777" w:rsidTr="00431F81">
        <w:trPr>
          <w:trHeight w:val="255"/>
        </w:trPr>
        <w:tc>
          <w:tcPr>
            <w:tcW w:w="2721" w:type="pct"/>
            <w:gridSpan w:val="4"/>
            <w:tcBorders>
              <w:top w:val="single" w:sz="4" w:space="0" w:color="auto"/>
              <w:left w:val="single" w:sz="4" w:space="0" w:color="auto"/>
              <w:bottom w:val="single" w:sz="18" w:space="0" w:color="auto"/>
              <w:right w:val="single" w:sz="4" w:space="0" w:color="auto"/>
            </w:tcBorders>
            <w:shd w:val="clear" w:color="auto" w:fill="auto"/>
            <w:noWrap/>
            <w:vAlign w:val="bottom"/>
          </w:tcPr>
          <w:p w14:paraId="628ECE80" w14:textId="09B13FB3" w:rsidR="0014432F" w:rsidRPr="00F17ECC" w:rsidRDefault="0014432F" w:rsidP="0014432F">
            <w:pPr>
              <w:autoSpaceDE w:val="0"/>
              <w:autoSpaceDN w:val="0"/>
              <w:adjustRightInd w:val="0"/>
              <w:spacing w:after="0"/>
              <w:jc w:val="right"/>
              <w:rPr>
                <w:rFonts w:ascii="Trebuchet MS" w:hAnsi="Trebuchet MS" w:cs="Calibri"/>
                <w:color w:val="000000"/>
                <w:szCs w:val="22"/>
                <w:lang w:val="lt-LT"/>
              </w:rPr>
            </w:pPr>
            <w:r w:rsidRPr="00F17ECC">
              <w:rPr>
                <w:rFonts w:ascii="Trebuchet MS" w:hAnsi="Trebuchet MS" w:cs="Calibri"/>
                <w:color w:val="000000"/>
                <w:szCs w:val="22"/>
                <w:lang w:val="lt-LT"/>
              </w:rPr>
              <w:t>Minimali reikšmė</w:t>
            </w:r>
          </w:p>
        </w:tc>
        <w:tc>
          <w:tcPr>
            <w:tcW w:w="2279" w:type="pct"/>
            <w:tcBorders>
              <w:top w:val="single" w:sz="4" w:space="0" w:color="auto"/>
              <w:left w:val="single" w:sz="4" w:space="0" w:color="auto"/>
              <w:bottom w:val="single" w:sz="18" w:space="0" w:color="auto"/>
              <w:right w:val="single" w:sz="4" w:space="0" w:color="auto"/>
            </w:tcBorders>
            <w:shd w:val="clear" w:color="auto" w:fill="auto"/>
            <w:noWrap/>
            <w:vAlign w:val="bottom"/>
          </w:tcPr>
          <w:p w14:paraId="1B94E5E9" w14:textId="04EE9C5B" w:rsidR="0014432F" w:rsidRPr="00F17ECC" w:rsidRDefault="000F1754" w:rsidP="0014432F">
            <w:pPr>
              <w:autoSpaceDE w:val="0"/>
              <w:autoSpaceDN w:val="0"/>
              <w:adjustRightInd w:val="0"/>
              <w:spacing w:after="0"/>
              <w:jc w:val="center"/>
              <w:rPr>
                <w:rFonts w:ascii="Trebuchet MS" w:hAnsi="Trebuchet MS" w:cs="Calibri"/>
                <w:color w:val="000000"/>
                <w:szCs w:val="22"/>
                <w:lang w:val="lt-LT"/>
              </w:rPr>
            </w:pPr>
            <w:r>
              <w:rPr>
                <w:rFonts w:ascii="Trebuchet MS" w:hAnsi="Trebuchet MS" w:cs="Calibri"/>
                <w:color w:val="000000"/>
                <w:szCs w:val="22"/>
                <w:lang w:val="lt-LT"/>
              </w:rPr>
              <w:t>2,</w:t>
            </w:r>
            <w:r w:rsidR="0014432F" w:rsidRPr="0014432F">
              <w:rPr>
                <w:rFonts w:ascii="Trebuchet MS" w:hAnsi="Trebuchet MS" w:cs="Calibri"/>
                <w:color w:val="000000"/>
                <w:szCs w:val="22"/>
                <w:lang w:val="lt-LT"/>
              </w:rPr>
              <w:t>5</w:t>
            </w:r>
          </w:p>
        </w:tc>
      </w:tr>
      <w:tr w:rsidR="00D17FE1" w:rsidRPr="00F17ECC" w14:paraId="53BB928E" w14:textId="77777777" w:rsidTr="00431F81">
        <w:trPr>
          <w:trHeight w:val="255"/>
        </w:trPr>
        <w:tc>
          <w:tcPr>
            <w:tcW w:w="2721" w:type="pct"/>
            <w:gridSpan w:val="4"/>
            <w:tcBorders>
              <w:top w:val="single" w:sz="18" w:space="0" w:color="auto"/>
              <w:left w:val="single" w:sz="18" w:space="0" w:color="auto"/>
              <w:bottom w:val="single" w:sz="2" w:space="0" w:color="auto"/>
              <w:right w:val="single" w:sz="2" w:space="0" w:color="auto"/>
            </w:tcBorders>
            <w:shd w:val="clear" w:color="auto" w:fill="auto"/>
            <w:noWrap/>
            <w:vAlign w:val="bottom"/>
          </w:tcPr>
          <w:p w14:paraId="45D2A35B" w14:textId="1DD32D18" w:rsidR="0014432F" w:rsidRPr="00F17ECC" w:rsidRDefault="0014432F" w:rsidP="0014432F">
            <w:pPr>
              <w:autoSpaceDE w:val="0"/>
              <w:autoSpaceDN w:val="0"/>
              <w:adjustRightInd w:val="0"/>
              <w:spacing w:after="0"/>
              <w:jc w:val="right"/>
              <w:rPr>
                <w:rFonts w:ascii="Trebuchet MS" w:hAnsi="Trebuchet MS" w:cs="Calibri"/>
                <w:color w:val="000000"/>
                <w:szCs w:val="22"/>
                <w:lang w:val="lt-LT"/>
              </w:rPr>
            </w:pPr>
            <w:r w:rsidRPr="00F17ECC">
              <w:rPr>
                <w:rFonts w:ascii="Trebuchet MS" w:hAnsi="Trebuchet MS" w:cs="Calibri"/>
                <w:color w:val="000000"/>
                <w:szCs w:val="22"/>
                <w:lang w:val="lt-LT"/>
              </w:rPr>
              <w:t>Apatinis (pirmasis) kvartilis</w:t>
            </w:r>
          </w:p>
        </w:tc>
        <w:tc>
          <w:tcPr>
            <w:tcW w:w="2279" w:type="pct"/>
            <w:tcBorders>
              <w:top w:val="single" w:sz="18" w:space="0" w:color="auto"/>
              <w:left w:val="single" w:sz="2" w:space="0" w:color="auto"/>
              <w:bottom w:val="single" w:sz="2" w:space="0" w:color="auto"/>
              <w:right w:val="single" w:sz="18" w:space="0" w:color="auto"/>
            </w:tcBorders>
            <w:shd w:val="clear" w:color="auto" w:fill="auto"/>
            <w:noWrap/>
            <w:vAlign w:val="bottom"/>
          </w:tcPr>
          <w:p w14:paraId="3CD1B28D" w14:textId="50F10EAC" w:rsidR="0014432F" w:rsidRPr="00F17ECC" w:rsidRDefault="0014432F" w:rsidP="0014432F">
            <w:pPr>
              <w:autoSpaceDE w:val="0"/>
              <w:autoSpaceDN w:val="0"/>
              <w:adjustRightInd w:val="0"/>
              <w:spacing w:after="0"/>
              <w:jc w:val="center"/>
              <w:rPr>
                <w:rFonts w:ascii="Trebuchet MS" w:hAnsi="Trebuchet MS" w:cs="Calibri"/>
                <w:color w:val="000000"/>
                <w:szCs w:val="22"/>
                <w:lang w:val="lt-LT"/>
              </w:rPr>
            </w:pPr>
            <w:r w:rsidRPr="0014432F">
              <w:rPr>
                <w:rFonts w:ascii="Trebuchet MS" w:hAnsi="Trebuchet MS" w:cs="Calibri"/>
                <w:color w:val="000000"/>
                <w:szCs w:val="22"/>
                <w:lang w:val="lt-LT"/>
              </w:rPr>
              <w:t>3,</w:t>
            </w:r>
            <w:r w:rsidR="000F1754">
              <w:rPr>
                <w:rFonts w:ascii="Trebuchet MS" w:hAnsi="Trebuchet MS" w:cs="Calibri"/>
                <w:color w:val="000000"/>
                <w:szCs w:val="22"/>
                <w:lang w:val="lt-LT"/>
              </w:rPr>
              <w:t>8</w:t>
            </w:r>
          </w:p>
        </w:tc>
      </w:tr>
      <w:tr w:rsidR="0014432F" w:rsidRPr="00F17ECC" w14:paraId="43C0216E" w14:textId="77777777" w:rsidTr="00431F81">
        <w:trPr>
          <w:trHeight w:val="255"/>
        </w:trPr>
        <w:tc>
          <w:tcPr>
            <w:tcW w:w="2721" w:type="pct"/>
            <w:gridSpan w:val="4"/>
            <w:tcBorders>
              <w:top w:val="single" w:sz="2" w:space="0" w:color="auto"/>
              <w:left w:val="single" w:sz="18" w:space="0" w:color="auto"/>
              <w:bottom w:val="single" w:sz="2" w:space="0" w:color="auto"/>
              <w:right w:val="single" w:sz="2" w:space="0" w:color="auto"/>
            </w:tcBorders>
            <w:shd w:val="clear" w:color="auto" w:fill="auto"/>
            <w:noWrap/>
            <w:vAlign w:val="bottom"/>
          </w:tcPr>
          <w:p w14:paraId="4C53DFBB" w14:textId="7D69E3F2" w:rsidR="0014432F" w:rsidRPr="00F17ECC" w:rsidRDefault="0014432F" w:rsidP="0014432F">
            <w:pPr>
              <w:autoSpaceDE w:val="0"/>
              <w:autoSpaceDN w:val="0"/>
              <w:adjustRightInd w:val="0"/>
              <w:spacing w:after="0"/>
              <w:jc w:val="right"/>
              <w:rPr>
                <w:rFonts w:ascii="Trebuchet MS" w:hAnsi="Trebuchet MS" w:cs="Calibri"/>
                <w:color w:val="000000"/>
                <w:szCs w:val="22"/>
                <w:lang w:val="lt-LT"/>
              </w:rPr>
            </w:pPr>
            <w:r w:rsidRPr="00F17ECC">
              <w:rPr>
                <w:rFonts w:ascii="Trebuchet MS" w:hAnsi="Trebuchet MS" w:cs="Calibri"/>
                <w:color w:val="000000"/>
                <w:szCs w:val="22"/>
                <w:lang w:val="lt-LT"/>
              </w:rPr>
              <w:t>Mediana</w:t>
            </w:r>
          </w:p>
        </w:tc>
        <w:tc>
          <w:tcPr>
            <w:tcW w:w="2279" w:type="pct"/>
            <w:tcBorders>
              <w:top w:val="single" w:sz="2" w:space="0" w:color="auto"/>
              <w:left w:val="single" w:sz="2" w:space="0" w:color="auto"/>
              <w:bottom w:val="single" w:sz="2" w:space="0" w:color="auto"/>
              <w:right w:val="single" w:sz="18" w:space="0" w:color="auto"/>
            </w:tcBorders>
            <w:shd w:val="clear" w:color="auto" w:fill="auto"/>
            <w:noWrap/>
            <w:vAlign w:val="bottom"/>
          </w:tcPr>
          <w:p w14:paraId="48BADD14" w14:textId="137E3C73" w:rsidR="0014432F" w:rsidRPr="00F17ECC" w:rsidRDefault="0014432F" w:rsidP="0014432F">
            <w:pPr>
              <w:autoSpaceDE w:val="0"/>
              <w:autoSpaceDN w:val="0"/>
              <w:adjustRightInd w:val="0"/>
              <w:spacing w:after="0"/>
              <w:jc w:val="center"/>
              <w:rPr>
                <w:rFonts w:ascii="Trebuchet MS" w:hAnsi="Trebuchet MS" w:cs="Calibri"/>
                <w:color w:val="000000"/>
                <w:szCs w:val="22"/>
                <w:lang w:val="lt-LT"/>
              </w:rPr>
            </w:pPr>
            <w:r w:rsidRPr="0014432F">
              <w:rPr>
                <w:rFonts w:ascii="Trebuchet MS" w:hAnsi="Trebuchet MS" w:cs="Calibri"/>
                <w:color w:val="000000"/>
                <w:szCs w:val="22"/>
                <w:lang w:val="lt-LT"/>
              </w:rPr>
              <w:t>8,</w:t>
            </w:r>
            <w:r w:rsidR="00DB58D3" w:rsidRPr="00F17ECC">
              <w:rPr>
                <w:rFonts w:ascii="Trebuchet MS" w:hAnsi="Trebuchet MS" w:cs="Calibri"/>
                <w:color w:val="000000"/>
                <w:szCs w:val="22"/>
                <w:lang w:val="lt-LT"/>
              </w:rPr>
              <w:t>0</w:t>
            </w:r>
          </w:p>
        </w:tc>
      </w:tr>
      <w:tr w:rsidR="00D17FE1" w:rsidRPr="00F17ECC" w14:paraId="23B184E3" w14:textId="77777777" w:rsidTr="00431F81">
        <w:trPr>
          <w:trHeight w:val="255"/>
        </w:trPr>
        <w:tc>
          <w:tcPr>
            <w:tcW w:w="2721" w:type="pct"/>
            <w:gridSpan w:val="4"/>
            <w:tcBorders>
              <w:top w:val="single" w:sz="2" w:space="0" w:color="auto"/>
              <w:left w:val="single" w:sz="18" w:space="0" w:color="auto"/>
              <w:bottom w:val="single" w:sz="18" w:space="0" w:color="auto"/>
              <w:right w:val="single" w:sz="2" w:space="0" w:color="auto"/>
            </w:tcBorders>
            <w:shd w:val="clear" w:color="auto" w:fill="auto"/>
            <w:noWrap/>
            <w:vAlign w:val="bottom"/>
          </w:tcPr>
          <w:p w14:paraId="4DB85FEB" w14:textId="51D657BF" w:rsidR="0014432F" w:rsidRPr="00F17ECC" w:rsidRDefault="0014432F" w:rsidP="0014432F">
            <w:pPr>
              <w:autoSpaceDE w:val="0"/>
              <w:autoSpaceDN w:val="0"/>
              <w:adjustRightInd w:val="0"/>
              <w:spacing w:after="0"/>
              <w:jc w:val="right"/>
              <w:rPr>
                <w:rFonts w:ascii="Trebuchet MS" w:hAnsi="Trebuchet MS" w:cs="Calibri"/>
                <w:color w:val="000000"/>
                <w:szCs w:val="22"/>
                <w:lang w:val="lt-LT"/>
              </w:rPr>
            </w:pPr>
            <w:r w:rsidRPr="00F17ECC">
              <w:rPr>
                <w:rFonts w:ascii="Trebuchet MS" w:hAnsi="Trebuchet MS" w:cs="Calibri"/>
                <w:color w:val="000000"/>
                <w:szCs w:val="22"/>
                <w:lang w:val="lt-LT"/>
              </w:rPr>
              <w:t>Viršutinis (trečiasis) kvartilis</w:t>
            </w:r>
          </w:p>
        </w:tc>
        <w:tc>
          <w:tcPr>
            <w:tcW w:w="2279" w:type="pct"/>
            <w:tcBorders>
              <w:top w:val="single" w:sz="2" w:space="0" w:color="auto"/>
              <w:left w:val="single" w:sz="2" w:space="0" w:color="auto"/>
              <w:bottom w:val="single" w:sz="18" w:space="0" w:color="auto"/>
              <w:right w:val="single" w:sz="18" w:space="0" w:color="auto"/>
            </w:tcBorders>
            <w:shd w:val="clear" w:color="auto" w:fill="auto"/>
            <w:noWrap/>
            <w:vAlign w:val="bottom"/>
          </w:tcPr>
          <w:p w14:paraId="35449915" w14:textId="74A997AE" w:rsidR="0014432F" w:rsidRPr="00F17ECC" w:rsidRDefault="0014432F" w:rsidP="0014432F">
            <w:pPr>
              <w:autoSpaceDE w:val="0"/>
              <w:autoSpaceDN w:val="0"/>
              <w:adjustRightInd w:val="0"/>
              <w:spacing w:after="0"/>
              <w:jc w:val="center"/>
              <w:rPr>
                <w:rFonts w:ascii="Trebuchet MS" w:hAnsi="Trebuchet MS" w:cs="Calibri"/>
                <w:color w:val="000000"/>
                <w:szCs w:val="22"/>
                <w:lang w:val="lt-LT"/>
              </w:rPr>
            </w:pPr>
            <w:r w:rsidRPr="0014432F">
              <w:rPr>
                <w:rFonts w:ascii="Trebuchet MS" w:hAnsi="Trebuchet MS" w:cs="Calibri"/>
                <w:color w:val="000000"/>
                <w:szCs w:val="22"/>
                <w:lang w:val="lt-LT"/>
              </w:rPr>
              <w:t>1</w:t>
            </w:r>
            <w:r w:rsidR="000F0860" w:rsidRPr="00F17ECC">
              <w:rPr>
                <w:rFonts w:ascii="Trebuchet MS" w:hAnsi="Trebuchet MS" w:cs="Calibri"/>
                <w:color w:val="000000"/>
                <w:szCs w:val="22"/>
                <w:lang w:val="lt-LT"/>
              </w:rPr>
              <w:t>0,8</w:t>
            </w:r>
          </w:p>
        </w:tc>
      </w:tr>
      <w:tr w:rsidR="0014432F" w:rsidRPr="00F17ECC" w14:paraId="31C58477" w14:textId="77777777" w:rsidTr="00431F81">
        <w:trPr>
          <w:trHeight w:val="255"/>
        </w:trPr>
        <w:tc>
          <w:tcPr>
            <w:tcW w:w="2721" w:type="pct"/>
            <w:gridSpan w:val="4"/>
            <w:tcBorders>
              <w:top w:val="single" w:sz="18" w:space="0" w:color="auto"/>
              <w:left w:val="single" w:sz="4" w:space="0" w:color="auto"/>
              <w:bottom w:val="single" w:sz="4" w:space="0" w:color="auto"/>
              <w:right w:val="single" w:sz="4" w:space="0" w:color="auto"/>
            </w:tcBorders>
            <w:shd w:val="clear" w:color="auto" w:fill="auto"/>
            <w:noWrap/>
            <w:vAlign w:val="bottom"/>
          </w:tcPr>
          <w:p w14:paraId="214EE010" w14:textId="3F0983A3" w:rsidR="0014432F" w:rsidRPr="00F17ECC" w:rsidRDefault="0014432F" w:rsidP="0014432F">
            <w:pPr>
              <w:autoSpaceDE w:val="0"/>
              <w:autoSpaceDN w:val="0"/>
              <w:adjustRightInd w:val="0"/>
              <w:spacing w:after="0"/>
              <w:jc w:val="right"/>
              <w:rPr>
                <w:rFonts w:ascii="Trebuchet MS" w:hAnsi="Trebuchet MS" w:cs="Calibri"/>
                <w:color w:val="000000"/>
                <w:szCs w:val="22"/>
                <w:lang w:val="lt-LT"/>
              </w:rPr>
            </w:pPr>
            <w:r w:rsidRPr="00F17ECC">
              <w:rPr>
                <w:rFonts w:ascii="Trebuchet MS" w:hAnsi="Trebuchet MS" w:cs="Calibri"/>
                <w:color w:val="000000"/>
                <w:szCs w:val="22"/>
                <w:lang w:val="lt-LT"/>
              </w:rPr>
              <w:t>Maksimali reikšmė</w:t>
            </w:r>
          </w:p>
        </w:tc>
        <w:tc>
          <w:tcPr>
            <w:tcW w:w="2279" w:type="pct"/>
            <w:tcBorders>
              <w:top w:val="single" w:sz="18" w:space="0" w:color="auto"/>
              <w:left w:val="single" w:sz="4" w:space="0" w:color="auto"/>
              <w:bottom w:val="single" w:sz="4" w:space="0" w:color="auto"/>
              <w:right w:val="single" w:sz="4" w:space="0" w:color="auto"/>
            </w:tcBorders>
            <w:shd w:val="clear" w:color="auto" w:fill="auto"/>
            <w:noWrap/>
            <w:vAlign w:val="bottom"/>
          </w:tcPr>
          <w:p w14:paraId="69F687D2" w14:textId="4C983648" w:rsidR="0014432F" w:rsidRPr="00F17ECC" w:rsidRDefault="0014432F" w:rsidP="0014432F">
            <w:pPr>
              <w:autoSpaceDE w:val="0"/>
              <w:autoSpaceDN w:val="0"/>
              <w:adjustRightInd w:val="0"/>
              <w:spacing w:after="0"/>
              <w:jc w:val="center"/>
              <w:rPr>
                <w:rFonts w:ascii="Trebuchet MS" w:hAnsi="Trebuchet MS" w:cs="Calibri"/>
                <w:color w:val="000000"/>
                <w:szCs w:val="22"/>
                <w:lang w:val="lt-LT"/>
              </w:rPr>
            </w:pPr>
            <w:r w:rsidRPr="0014432F">
              <w:rPr>
                <w:rFonts w:ascii="Trebuchet MS" w:hAnsi="Trebuchet MS" w:cs="Calibri"/>
                <w:color w:val="000000"/>
                <w:szCs w:val="22"/>
                <w:lang w:val="lt-LT"/>
              </w:rPr>
              <w:t>1</w:t>
            </w:r>
            <w:r w:rsidR="000F0860" w:rsidRPr="00F17ECC">
              <w:rPr>
                <w:rFonts w:ascii="Trebuchet MS" w:hAnsi="Trebuchet MS" w:cs="Calibri"/>
                <w:color w:val="000000"/>
                <w:szCs w:val="22"/>
                <w:lang w:val="lt-LT"/>
              </w:rPr>
              <w:t>6,3</w:t>
            </w:r>
          </w:p>
        </w:tc>
      </w:tr>
    </w:tbl>
    <w:p w14:paraId="209F9E73" w14:textId="77777777" w:rsidR="00C9122C" w:rsidRPr="00F17ECC" w:rsidRDefault="00C9122C" w:rsidP="00F2718A">
      <w:pPr>
        <w:autoSpaceDE w:val="0"/>
        <w:autoSpaceDN w:val="0"/>
        <w:adjustRightInd w:val="0"/>
        <w:spacing w:after="0"/>
        <w:jc w:val="both"/>
        <w:rPr>
          <w:rFonts w:ascii="Trebuchet MS" w:hAnsi="Trebuchet MS"/>
          <w:color w:val="000000"/>
          <w:szCs w:val="22"/>
          <w:lang w:val="lt-LT" w:eastAsia="en-US"/>
        </w:rPr>
      </w:pPr>
    </w:p>
    <w:p w14:paraId="589A5B5D" w14:textId="2BB4B1BB" w:rsidR="00C61502" w:rsidRPr="003D6BAE" w:rsidRDefault="00DB58D3" w:rsidP="003D6BAE">
      <w:pPr>
        <w:autoSpaceDE w:val="0"/>
        <w:autoSpaceDN w:val="0"/>
        <w:adjustRightInd w:val="0"/>
        <w:spacing w:after="0"/>
        <w:ind w:firstLine="720"/>
        <w:jc w:val="both"/>
        <w:rPr>
          <w:i/>
          <w:lang w:val="lt-LT"/>
        </w:rPr>
      </w:pPr>
      <w:r w:rsidRPr="00F17ECC">
        <w:rPr>
          <w:rFonts w:ascii="Trebuchet MS" w:hAnsi="Trebuchet MS"/>
          <w:color w:val="000000"/>
          <w:szCs w:val="22"/>
          <w:lang w:val="lt-LT" w:eastAsia="en-US"/>
        </w:rPr>
        <w:t xml:space="preserve">Aibės susiaurinimui naudojamas kvartilių metodas, taikant </w:t>
      </w:r>
      <w:r w:rsidRPr="00F17ECC">
        <w:rPr>
          <w:rFonts w:ascii="Trebuchet MS" w:hAnsi="Trebuchet MS"/>
          <w:szCs w:val="22"/>
          <w:lang w:val="lt-LT"/>
        </w:rPr>
        <w:t xml:space="preserve">Microsoft Excel </w:t>
      </w:r>
      <w:proofErr w:type="spellStart"/>
      <w:r w:rsidRPr="00F17ECC">
        <w:rPr>
          <w:rFonts w:ascii="Trebuchet MS" w:hAnsi="Trebuchet MS"/>
          <w:szCs w:val="22"/>
          <w:lang w:val="lt-LT"/>
        </w:rPr>
        <w:t>quartile.exc</w:t>
      </w:r>
      <w:proofErr w:type="spellEnd"/>
      <w:r w:rsidRPr="00F17ECC">
        <w:rPr>
          <w:rFonts w:ascii="Trebuchet MS" w:hAnsi="Trebuchet MS"/>
          <w:szCs w:val="22"/>
          <w:lang w:val="lt-LT"/>
        </w:rPr>
        <w:t xml:space="preserve"> formulę</w:t>
      </w:r>
      <w:r w:rsidR="00830824">
        <w:rPr>
          <w:rFonts w:ascii="Trebuchet MS" w:hAnsi="Trebuchet MS"/>
          <w:szCs w:val="22"/>
          <w:lang w:val="lt-LT"/>
        </w:rPr>
        <w:t xml:space="preserve"> (</w:t>
      </w:r>
      <w:r w:rsidR="00830824" w:rsidRPr="00830824">
        <w:rPr>
          <w:rFonts w:ascii="Trebuchet MS" w:hAnsi="Trebuchet MS"/>
          <w:i/>
          <w:szCs w:val="22"/>
          <w:lang w:val="lt-LT"/>
        </w:rPr>
        <w:t>plačiau apie taikytinas formules žr. 15 klausimą</w:t>
      </w:r>
      <w:r w:rsidR="00830824">
        <w:rPr>
          <w:rFonts w:ascii="Trebuchet MS" w:hAnsi="Trebuchet MS"/>
          <w:szCs w:val="22"/>
          <w:lang w:val="lt-LT"/>
        </w:rPr>
        <w:t>)</w:t>
      </w:r>
      <w:r w:rsidRPr="00F17ECC">
        <w:rPr>
          <w:rFonts w:ascii="Trebuchet MS" w:hAnsi="Trebuchet MS"/>
          <w:color w:val="000000"/>
          <w:szCs w:val="22"/>
          <w:lang w:val="lt-LT" w:eastAsia="en-US"/>
        </w:rPr>
        <w:t>. Apatinio (pirmojo) kvartilio reikšmė yra 3,</w:t>
      </w:r>
      <w:r w:rsidR="000F1754">
        <w:rPr>
          <w:rFonts w:ascii="Trebuchet MS" w:hAnsi="Trebuchet MS"/>
          <w:color w:val="000000"/>
          <w:szCs w:val="22"/>
          <w:lang w:val="lt-LT" w:eastAsia="en-US"/>
        </w:rPr>
        <w:t>8</w:t>
      </w:r>
      <w:r w:rsidRPr="00F17ECC">
        <w:rPr>
          <w:rFonts w:ascii="Trebuchet MS" w:hAnsi="Trebuchet MS"/>
          <w:color w:val="000000"/>
          <w:szCs w:val="22"/>
          <w:lang w:val="lt-LT" w:eastAsia="en-US"/>
        </w:rPr>
        <w:t xml:space="preserve"> %, mediana 8 %, o viršutinis (trečiasis) kvartilis 1</w:t>
      </w:r>
      <w:r w:rsidR="000F0860" w:rsidRPr="00F17ECC">
        <w:rPr>
          <w:rFonts w:ascii="Trebuchet MS" w:hAnsi="Trebuchet MS"/>
          <w:color w:val="000000"/>
          <w:szCs w:val="22"/>
          <w:lang w:val="lt-LT" w:eastAsia="en-US"/>
        </w:rPr>
        <w:t>0,8</w:t>
      </w:r>
      <w:r w:rsidRPr="00F17ECC">
        <w:rPr>
          <w:rFonts w:ascii="Trebuchet MS" w:hAnsi="Trebuchet MS"/>
          <w:color w:val="000000"/>
          <w:szCs w:val="22"/>
          <w:lang w:val="lt-LT" w:eastAsia="en-US"/>
        </w:rPr>
        <w:t xml:space="preserve"> %. Taigi, ištiestosios rankos intervalas yra nuo 3,</w:t>
      </w:r>
      <w:r w:rsidR="000F1754">
        <w:rPr>
          <w:rFonts w:ascii="Trebuchet MS" w:hAnsi="Trebuchet MS"/>
          <w:color w:val="000000"/>
          <w:szCs w:val="22"/>
          <w:lang w:val="lt-LT" w:eastAsia="en-US"/>
        </w:rPr>
        <w:t>8</w:t>
      </w:r>
      <w:r w:rsidRPr="00F17ECC">
        <w:rPr>
          <w:rFonts w:ascii="Trebuchet MS" w:hAnsi="Trebuchet MS"/>
          <w:color w:val="000000"/>
          <w:szCs w:val="22"/>
          <w:lang w:val="lt-LT" w:eastAsia="en-US"/>
        </w:rPr>
        <w:t xml:space="preserve"> % iki 1</w:t>
      </w:r>
      <w:r w:rsidR="00EC3221" w:rsidRPr="00F17ECC">
        <w:rPr>
          <w:rFonts w:ascii="Trebuchet MS" w:hAnsi="Trebuchet MS"/>
          <w:color w:val="000000"/>
          <w:szCs w:val="22"/>
          <w:lang w:val="lt-LT" w:eastAsia="en-US"/>
        </w:rPr>
        <w:t xml:space="preserve">0,8 </w:t>
      </w:r>
      <w:r w:rsidRPr="00F17ECC">
        <w:rPr>
          <w:rFonts w:ascii="Trebuchet MS" w:hAnsi="Trebuchet MS"/>
          <w:color w:val="000000"/>
          <w:szCs w:val="22"/>
          <w:lang w:val="lt-LT" w:eastAsia="en-US"/>
        </w:rPr>
        <w:t>%</w:t>
      </w:r>
      <w:r w:rsidRPr="00F17ECC">
        <w:rPr>
          <w:i/>
          <w:lang w:val="lt-LT"/>
        </w:rPr>
        <w:t>.</w:t>
      </w:r>
    </w:p>
    <w:p w14:paraId="761F4B5A" w14:textId="77777777" w:rsidR="00A70F6B" w:rsidRPr="00F17ECC" w:rsidRDefault="00A70F6B" w:rsidP="00C9122C">
      <w:pPr>
        <w:autoSpaceDE w:val="0"/>
        <w:autoSpaceDN w:val="0"/>
        <w:adjustRightInd w:val="0"/>
        <w:spacing w:after="0"/>
        <w:ind w:firstLine="720"/>
        <w:jc w:val="both"/>
        <w:rPr>
          <w:rFonts w:ascii="Trebuchet MS" w:hAnsi="Trebuchet MS"/>
          <w:color w:val="000000"/>
          <w:szCs w:val="22"/>
          <w:lang w:val="lt-LT" w:eastAsia="en-US"/>
        </w:rPr>
      </w:pPr>
    </w:p>
    <w:p w14:paraId="1F047744" w14:textId="26919F4A" w:rsidR="00A70F6B" w:rsidRPr="00F17ECC" w:rsidRDefault="00281488" w:rsidP="00C9122C">
      <w:pPr>
        <w:autoSpaceDE w:val="0"/>
        <w:autoSpaceDN w:val="0"/>
        <w:adjustRightInd w:val="0"/>
        <w:spacing w:after="0"/>
        <w:ind w:firstLine="720"/>
        <w:jc w:val="both"/>
        <w:rPr>
          <w:rFonts w:ascii="Trebuchet MS" w:hAnsi="Trebuchet MS"/>
          <w:b/>
          <w:color w:val="000000"/>
          <w:szCs w:val="22"/>
          <w:lang w:val="lt-LT" w:eastAsia="en-US"/>
        </w:rPr>
      </w:pPr>
      <w:r w:rsidRPr="00F17ECC">
        <w:rPr>
          <w:rFonts w:ascii="Trebuchet MS" w:hAnsi="Trebuchet MS"/>
          <w:b/>
          <w:color w:val="000000"/>
          <w:szCs w:val="22"/>
          <w:lang w:val="lt-LT" w:eastAsia="en-US"/>
        </w:rPr>
        <w:t xml:space="preserve">3. Ar ištiestosios rankos intervalas gali būti sudarytas tik pagal vieną </w:t>
      </w:r>
      <w:r w:rsidR="004D5893" w:rsidRPr="00F17ECC">
        <w:rPr>
          <w:rFonts w:ascii="Trebuchet MS" w:hAnsi="Trebuchet MS"/>
          <w:b/>
          <w:color w:val="000000"/>
          <w:szCs w:val="22"/>
          <w:lang w:val="lt-LT" w:eastAsia="en-US"/>
        </w:rPr>
        <w:t>kainodaros metod</w:t>
      </w:r>
      <w:r w:rsidRPr="00F17ECC">
        <w:rPr>
          <w:rFonts w:ascii="Trebuchet MS" w:hAnsi="Trebuchet MS"/>
          <w:b/>
          <w:color w:val="000000"/>
          <w:szCs w:val="22"/>
          <w:lang w:val="lt-LT" w:eastAsia="en-US"/>
        </w:rPr>
        <w:t>ą?</w:t>
      </w:r>
    </w:p>
    <w:p w14:paraId="0D6BC21B" w14:textId="7A92CB3B" w:rsidR="00312FFB" w:rsidRDefault="00CA7213" w:rsidP="00312FFB">
      <w:pPr>
        <w:autoSpaceDE w:val="0"/>
        <w:autoSpaceDN w:val="0"/>
        <w:adjustRightInd w:val="0"/>
        <w:spacing w:after="0"/>
        <w:ind w:firstLine="720"/>
        <w:jc w:val="both"/>
        <w:rPr>
          <w:rFonts w:ascii="Trebuchet MS" w:hAnsi="Trebuchet MS"/>
          <w:color w:val="000000"/>
          <w:szCs w:val="22"/>
          <w:lang w:val="lt-LT" w:eastAsia="en-US"/>
        </w:rPr>
      </w:pPr>
      <w:r>
        <w:rPr>
          <w:rFonts w:ascii="Trebuchet MS" w:hAnsi="Trebuchet MS"/>
          <w:color w:val="000000"/>
          <w:szCs w:val="22"/>
          <w:lang w:val="lt-LT" w:eastAsia="en-US"/>
        </w:rPr>
        <w:t xml:space="preserve">Ne. </w:t>
      </w:r>
      <w:r w:rsidR="007453CD" w:rsidRPr="00F17ECC">
        <w:rPr>
          <w:rFonts w:ascii="Trebuchet MS" w:hAnsi="Trebuchet MS"/>
          <w:color w:val="000000"/>
          <w:szCs w:val="22"/>
          <w:lang w:val="lt-LT" w:eastAsia="en-US"/>
        </w:rPr>
        <w:t>Ištiestosios rankos intervalas taip pat gali susidaryti tais atvejais, kai, norint įvertinti kontroliuojam</w:t>
      </w:r>
      <w:r w:rsidR="00BF49F6" w:rsidRPr="00F17ECC">
        <w:rPr>
          <w:rFonts w:ascii="Trebuchet MS" w:hAnsi="Trebuchet MS"/>
          <w:color w:val="000000"/>
          <w:szCs w:val="22"/>
          <w:lang w:val="lt-LT" w:eastAsia="en-US"/>
        </w:rPr>
        <w:t>ojo</w:t>
      </w:r>
      <w:r w:rsidR="007453CD" w:rsidRPr="00F17ECC">
        <w:rPr>
          <w:rFonts w:ascii="Trebuchet MS" w:hAnsi="Trebuchet MS"/>
          <w:color w:val="000000"/>
          <w:szCs w:val="22"/>
          <w:lang w:val="lt-LT" w:eastAsia="en-US"/>
        </w:rPr>
        <w:t xml:space="preserve"> sandor</w:t>
      </w:r>
      <w:r w:rsidR="00BF49F6" w:rsidRPr="00F17ECC">
        <w:rPr>
          <w:rFonts w:ascii="Trebuchet MS" w:hAnsi="Trebuchet MS"/>
          <w:color w:val="000000"/>
          <w:szCs w:val="22"/>
          <w:lang w:val="lt-LT" w:eastAsia="en-US"/>
        </w:rPr>
        <w:t>io</w:t>
      </w:r>
      <w:r w:rsidR="00505295" w:rsidRPr="00F17ECC">
        <w:rPr>
          <w:rFonts w:ascii="Trebuchet MS" w:hAnsi="Trebuchet MS"/>
          <w:color w:val="000000"/>
          <w:szCs w:val="22"/>
          <w:lang w:val="lt-LT" w:eastAsia="en-US"/>
        </w:rPr>
        <w:t xml:space="preserve"> kainą</w:t>
      </w:r>
      <w:r w:rsidR="007453CD" w:rsidRPr="00F17ECC">
        <w:rPr>
          <w:rFonts w:ascii="Trebuchet MS" w:hAnsi="Trebuchet MS"/>
          <w:color w:val="000000"/>
          <w:szCs w:val="22"/>
          <w:lang w:val="lt-LT" w:eastAsia="en-US"/>
        </w:rPr>
        <w:t xml:space="preserve">, taikomas ne vienas, o keli kainodaros metodai. </w:t>
      </w:r>
      <w:r w:rsidR="00563C90" w:rsidRPr="00F17ECC">
        <w:rPr>
          <w:rFonts w:ascii="Trebuchet MS" w:hAnsi="Trebuchet MS"/>
          <w:color w:val="000000"/>
          <w:szCs w:val="22"/>
          <w:lang w:val="lt-LT" w:eastAsia="en-US"/>
        </w:rPr>
        <w:t xml:space="preserve">Tai gali būti aktualu tuomet, kai vertinant kontroliuojamojo sandorio sudėtingumą, nei vienas iš kainodaros metodų nesuteikia pilnai patikimo rezultato. </w:t>
      </w:r>
      <w:r w:rsidR="007453CD" w:rsidRPr="00F17ECC">
        <w:rPr>
          <w:rFonts w:ascii="Trebuchet MS" w:hAnsi="Trebuchet MS"/>
          <w:color w:val="000000"/>
          <w:szCs w:val="22"/>
          <w:lang w:val="lt-LT" w:eastAsia="en-US"/>
        </w:rPr>
        <w:t xml:space="preserve">Pritaikius kiekvieną iš kainodaros metodų, gaunamas tam tikras rezultatas arba rezultatų intervalas, kuris skiriasi nuo taikant kitą metodą gauto rezultato ir/ar rezultatų intervalo. </w:t>
      </w:r>
      <w:r w:rsidR="009A0C33">
        <w:rPr>
          <w:rFonts w:ascii="Trebuchet MS" w:hAnsi="Trebuchet MS"/>
          <w:color w:val="000000"/>
          <w:szCs w:val="22"/>
          <w:lang w:val="lt-LT" w:eastAsia="en-US"/>
        </w:rPr>
        <w:t>Š</w:t>
      </w:r>
      <w:r w:rsidR="007453CD" w:rsidRPr="00F17ECC">
        <w:rPr>
          <w:rFonts w:ascii="Trebuchet MS" w:hAnsi="Trebuchet MS"/>
          <w:color w:val="000000"/>
          <w:szCs w:val="22"/>
          <w:lang w:val="lt-LT" w:eastAsia="en-US"/>
        </w:rPr>
        <w:t>ie skirtumai gali susidaryti dėl to, kad skiriasi metodų taikymo duomenys (rodikliai). Nepaisant to, kiekvienas iš tokių intervalų gali būti naudingas nustatant IRP atitinkančią sandorio kainą. Gautų intervalų duomenys gali būti naudingi nustatant kuo tikslesnį IRP atitinkantį intervalą (pvz., kai intervalai iš dalies sutampa) arba atvirkščiai – paneigti kainodaros metodo teisingumą (kai intervalai visiškai nesutampa).</w:t>
      </w:r>
      <w:r w:rsidR="00312FFB">
        <w:rPr>
          <w:rFonts w:ascii="Trebuchet MS" w:hAnsi="Trebuchet MS"/>
          <w:color w:val="000000"/>
          <w:szCs w:val="22"/>
          <w:lang w:val="lt-LT" w:eastAsia="en-US"/>
        </w:rPr>
        <w:t xml:space="preserve"> </w:t>
      </w:r>
    </w:p>
    <w:p w14:paraId="0B091C91" w14:textId="59CC1966" w:rsidR="00312FFB" w:rsidRPr="00F17ECC" w:rsidRDefault="00312FFB" w:rsidP="00312FFB">
      <w:pPr>
        <w:autoSpaceDE w:val="0"/>
        <w:autoSpaceDN w:val="0"/>
        <w:adjustRightInd w:val="0"/>
        <w:spacing w:after="0"/>
        <w:ind w:firstLine="720"/>
        <w:jc w:val="both"/>
        <w:rPr>
          <w:rFonts w:ascii="Trebuchet MS" w:hAnsi="Trebuchet MS"/>
          <w:color w:val="000000"/>
          <w:szCs w:val="22"/>
          <w:lang w:val="lt-LT" w:eastAsia="en-US"/>
        </w:rPr>
      </w:pPr>
      <w:r>
        <w:rPr>
          <w:rFonts w:ascii="Trebuchet MS" w:hAnsi="Trebuchet MS"/>
          <w:color w:val="000000"/>
          <w:szCs w:val="22"/>
          <w:lang w:val="lt-LT" w:eastAsia="en-US"/>
        </w:rPr>
        <w:t>Pavyzdžiui, asocijuoti asmenys vykdo franšizės sandorį, kurio kainai nustatyti vadovaujamasi palyginamosios nepriklausomos kainos kainodaros metodu, atsižvelgiant į vieną duomenų bazėje rastą palyginamąjį sandorį. Siekiant įsitikinti, ar gaunamas kainos nustatymo rezultatas tikrai suderinamas su IRP, papildomai atliekamas franšizės gavėjo veiklos, kuri vykdoma pagal franšizės sutartį, rodiklių palyginimas su kitų panašią veiklą vykdančių palyginamųjų įmonių atitinkamais rodikliais pagal sandorio grynosios maržos metodą, pasirinkus veiklos pelningumo rodiklį. Jeigu franšizės gavėjo veiklos pelningumo rodikliai patenka į ištiestosios rankos intervalą</w:t>
      </w:r>
      <w:r w:rsidR="00525655">
        <w:rPr>
          <w:rFonts w:ascii="Trebuchet MS" w:hAnsi="Trebuchet MS"/>
          <w:color w:val="000000"/>
          <w:szCs w:val="22"/>
          <w:lang w:val="lt-LT" w:eastAsia="en-US"/>
        </w:rPr>
        <w:t>, sudarytą pagal palyginamųjų įmonių rodiklius, tai patvirtina, kad atlygis už franšizę, yra nustatytas tinkamai. Jeigu nepatektų – tai rodytų poreikį pervertinti palyginimus, siekiant įsitikinti, ar tinkamai atlikta sandorio šalių funkcinė analizė</w:t>
      </w:r>
      <w:r w:rsidR="007474D8">
        <w:rPr>
          <w:rFonts w:ascii="Trebuchet MS" w:hAnsi="Trebuchet MS"/>
          <w:color w:val="000000"/>
          <w:szCs w:val="22"/>
          <w:lang w:val="lt-LT" w:eastAsia="en-US"/>
        </w:rPr>
        <w:t xml:space="preserve">, ar </w:t>
      </w:r>
      <w:r w:rsidR="005D4C28">
        <w:rPr>
          <w:rFonts w:ascii="Trebuchet MS" w:hAnsi="Trebuchet MS"/>
          <w:color w:val="000000"/>
          <w:szCs w:val="22"/>
          <w:lang w:val="lt-LT" w:eastAsia="en-US"/>
        </w:rPr>
        <w:t xml:space="preserve">rasti palyginimai yra iš tiesų patikimi, o galbūt </w:t>
      </w:r>
      <w:r w:rsidR="005D4C28">
        <w:rPr>
          <w:rFonts w:ascii="Trebuchet MS" w:hAnsi="Trebuchet MS"/>
          <w:color w:val="000000"/>
          <w:szCs w:val="22"/>
          <w:lang w:val="lt-LT" w:eastAsia="en-US"/>
        </w:rPr>
        <w:lastRenderedPageBreak/>
        <w:t>leistų identifikuoti riziką dėl kitų franšizės gavėjo kontroliuojamųjų sandorių</w:t>
      </w:r>
      <w:r w:rsidR="00CA7213">
        <w:rPr>
          <w:rFonts w:ascii="Trebuchet MS" w:hAnsi="Trebuchet MS"/>
          <w:color w:val="000000"/>
          <w:szCs w:val="22"/>
          <w:lang w:val="lt-LT" w:eastAsia="en-US"/>
        </w:rPr>
        <w:t xml:space="preserve"> neatitikimo IRP</w:t>
      </w:r>
      <w:r w:rsidR="005D4C28">
        <w:rPr>
          <w:rFonts w:ascii="Trebuchet MS" w:hAnsi="Trebuchet MS"/>
          <w:color w:val="000000"/>
          <w:szCs w:val="22"/>
          <w:lang w:val="lt-LT" w:eastAsia="en-US"/>
        </w:rPr>
        <w:t>, jeigu tokie sandoriai vykdyti ar turėjo būti identifikuojami ir vykdomi</w:t>
      </w:r>
      <w:r w:rsidR="005D4C28" w:rsidRPr="001C3871">
        <w:rPr>
          <w:rFonts w:ascii="Trebuchet MS" w:hAnsi="Trebuchet MS"/>
          <w:color w:val="000000"/>
          <w:szCs w:val="22"/>
          <w:lang w:val="lt-LT" w:eastAsia="en-US"/>
        </w:rPr>
        <w:t>.</w:t>
      </w:r>
    </w:p>
    <w:p w14:paraId="303FA019" w14:textId="3A5F3460" w:rsidR="00281488" w:rsidRPr="00F17ECC" w:rsidRDefault="00281488"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Kainodaros taisyklių</w:t>
      </w:r>
      <w:r w:rsidR="00E66256" w:rsidRPr="00F17ECC">
        <w:rPr>
          <w:rFonts w:ascii="Trebuchet MS" w:hAnsi="Trebuchet MS"/>
          <w:szCs w:val="22"/>
          <w:vertAlign w:val="superscript"/>
          <w:lang w:val="lt-LT"/>
        </w:rPr>
        <w:footnoteReference w:id="3"/>
      </w:r>
      <w:r w:rsidR="00E66256" w:rsidRPr="00F17ECC">
        <w:rPr>
          <w:rFonts w:ascii="Trebuchet MS" w:hAnsi="Trebuchet MS"/>
          <w:szCs w:val="22"/>
          <w:vertAlign w:val="superscript"/>
          <w:lang w:val="lt-LT"/>
        </w:rPr>
        <w:t xml:space="preserve"> </w:t>
      </w:r>
      <w:r w:rsidRPr="00F17ECC">
        <w:rPr>
          <w:rFonts w:ascii="Trebuchet MS" w:hAnsi="Trebuchet MS"/>
          <w:color w:val="000000"/>
          <w:szCs w:val="22"/>
          <w:lang w:val="lt-LT" w:eastAsia="en-US"/>
        </w:rPr>
        <w:t xml:space="preserve"> 22 p. numato galimybę taikyti daugiau nei vieną kainodaros metodą, siekiant tiksliau nustatyti IRP atitinkančią kainą, tačiau tai nėra mokesčių mokėtojo pareiga. Kontroliuojamojo sandorio kainos atitiktis IRP gali būti pagrįsta tinkamai pritaikius </w:t>
      </w:r>
      <w:r w:rsidR="00737B08" w:rsidRPr="00F17ECC">
        <w:rPr>
          <w:rFonts w:ascii="Trebuchet MS" w:hAnsi="Trebuchet MS"/>
          <w:color w:val="000000"/>
          <w:szCs w:val="22"/>
          <w:lang w:val="lt-LT" w:eastAsia="en-US"/>
        </w:rPr>
        <w:t xml:space="preserve">vieną </w:t>
      </w:r>
      <w:r w:rsidRPr="00F17ECC">
        <w:rPr>
          <w:rFonts w:ascii="Trebuchet MS" w:hAnsi="Trebuchet MS"/>
          <w:color w:val="000000"/>
          <w:szCs w:val="22"/>
          <w:lang w:val="lt-LT" w:eastAsia="en-US"/>
        </w:rPr>
        <w:t>konkrečiam sandoriui tinkamiausią kainodaros metodą</w:t>
      </w:r>
      <w:r w:rsidR="005D4C28">
        <w:rPr>
          <w:rFonts w:ascii="Trebuchet MS" w:hAnsi="Trebuchet MS"/>
          <w:color w:val="000000"/>
          <w:szCs w:val="22"/>
          <w:lang w:val="lt-LT" w:eastAsia="en-US"/>
        </w:rPr>
        <w:t xml:space="preserve"> (įskaitant ir tuos atvejus, kai taikant palyginamosios nepriklausomos kainos kainodaros metodą randamas tik vienas palyginimas, jeigu jis yra tinkamas)</w:t>
      </w:r>
      <w:r w:rsidRPr="00F17ECC">
        <w:rPr>
          <w:rFonts w:ascii="Trebuchet MS" w:hAnsi="Trebuchet MS"/>
          <w:color w:val="000000"/>
          <w:szCs w:val="22"/>
          <w:lang w:val="lt-LT" w:eastAsia="en-US"/>
        </w:rPr>
        <w:t xml:space="preserve">. </w:t>
      </w:r>
    </w:p>
    <w:p w14:paraId="366DDD5A" w14:textId="3A3FA934"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p>
    <w:p w14:paraId="374AF08E" w14:textId="3C5BEE03" w:rsidR="009D30F4" w:rsidRPr="00F17ECC" w:rsidRDefault="00ED07F9" w:rsidP="00C9122C">
      <w:pPr>
        <w:autoSpaceDE w:val="0"/>
        <w:autoSpaceDN w:val="0"/>
        <w:adjustRightInd w:val="0"/>
        <w:spacing w:after="0"/>
        <w:ind w:firstLine="720"/>
        <w:jc w:val="both"/>
        <w:rPr>
          <w:rFonts w:ascii="Trebuchet MS" w:hAnsi="Trebuchet MS"/>
          <w:b/>
          <w:color w:val="000000"/>
          <w:szCs w:val="22"/>
          <w:lang w:val="lt-LT" w:eastAsia="en-US"/>
        </w:rPr>
      </w:pPr>
      <w:r w:rsidRPr="00F17ECC">
        <w:rPr>
          <w:rFonts w:ascii="Trebuchet MS" w:hAnsi="Trebuchet MS"/>
          <w:b/>
          <w:color w:val="000000"/>
          <w:szCs w:val="22"/>
          <w:lang w:val="lt-LT" w:eastAsia="en-US"/>
        </w:rPr>
        <w:t>4</w:t>
      </w:r>
      <w:r w:rsidR="009D30F4" w:rsidRPr="00F17ECC">
        <w:rPr>
          <w:rFonts w:ascii="Trebuchet MS" w:hAnsi="Trebuchet MS"/>
          <w:b/>
          <w:color w:val="000000"/>
          <w:szCs w:val="22"/>
          <w:lang w:val="lt-LT" w:eastAsia="en-US"/>
        </w:rPr>
        <w:t>. Kokie statistiniai metodai naudojami sudarant ištiestosios rankos intervalą?</w:t>
      </w:r>
    </w:p>
    <w:p w14:paraId="35BFB74B" w14:textId="405BD3AD" w:rsidR="006871CF" w:rsidRPr="00F17ECC" w:rsidRDefault="006871CF" w:rsidP="00C9122C">
      <w:pPr>
        <w:autoSpaceDE w:val="0"/>
        <w:autoSpaceDN w:val="0"/>
        <w:adjustRightInd w:val="0"/>
        <w:spacing w:after="0"/>
        <w:ind w:firstLine="720"/>
        <w:jc w:val="both"/>
        <w:rPr>
          <w:rFonts w:ascii="Trebuchet MS" w:hAnsi="Trebuchet MS"/>
          <w:b/>
          <w:color w:val="000000"/>
          <w:szCs w:val="22"/>
          <w:lang w:val="lt-LT" w:eastAsia="en-US"/>
        </w:rPr>
      </w:pPr>
      <w:r w:rsidRPr="00F17ECC">
        <w:rPr>
          <w:rFonts w:ascii="Trebuchet MS" w:hAnsi="Trebuchet MS"/>
          <w:lang w:val="lt-LT"/>
        </w:rPr>
        <w:t xml:space="preserve">Kainodaros taisyklėse nėra apibrėžti konkretūs naudotini statistiniai metodai, tačiau praktikoje </w:t>
      </w:r>
      <w:r w:rsidR="006C1E29">
        <w:rPr>
          <w:rFonts w:ascii="Trebuchet MS" w:hAnsi="Trebuchet MS"/>
          <w:lang w:val="lt-LT"/>
        </w:rPr>
        <w:t>dažniausiai</w:t>
      </w:r>
      <w:r w:rsidRPr="00F17ECC">
        <w:rPr>
          <w:rFonts w:ascii="Trebuchet MS" w:hAnsi="Trebuchet MS"/>
          <w:lang w:val="lt-LT"/>
        </w:rPr>
        <w:t xml:space="preserve"> taikomi šie metodai: </w:t>
      </w:r>
    </w:p>
    <w:p w14:paraId="6456D94C" w14:textId="348E6694" w:rsidR="009D30F4" w:rsidRPr="00F17ECC" w:rsidRDefault="006871CF"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1. </w:t>
      </w:r>
      <w:r w:rsidR="009D30F4" w:rsidRPr="00F17ECC">
        <w:rPr>
          <w:rFonts w:ascii="Trebuchet MS" w:hAnsi="Trebuchet MS"/>
          <w:color w:val="000000"/>
          <w:szCs w:val="22"/>
          <w:lang w:val="lt-LT" w:eastAsia="en-US"/>
        </w:rPr>
        <w:t>Aritmetinis</w:t>
      </w:r>
      <w:r w:rsidR="00BF49F6" w:rsidRPr="00F17ECC">
        <w:rPr>
          <w:rFonts w:ascii="Trebuchet MS" w:hAnsi="Trebuchet MS"/>
          <w:color w:val="000000"/>
          <w:szCs w:val="22"/>
          <w:lang w:val="lt-LT" w:eastAsia="en-US"/>
        </w:rPr>
        <w:t xml:space="preserve"> </w:t>
      </w:r>
      <w:r w:rsidRPr="00F17ECC">
        <w:rPr>
          <w:rFonts w:ascii="Trebuchet MS" w:hAnsi="Trebuchet MS"/>
          <w:color w:val="000000"/>
          <w:szCs w:val="22"/>
          <w:lang w:val="lt-LT" w:eastAsia="en-US"/>
        </w:rPr>
        <w:t>(paprastasis)</w:t>
      </w:r>
      <w:r w:rsidR="009D30F4" w:rsidRPr="00F17ECC">
        <w:rPr>
          <w:rFonts w:ascii="Trebuchet MS" w:hAnsi="Trebuchet MS"/>
          <w:color w:val="000000"/>
          <w:szCs w:val="22"/>
          <w:lang w:val="lt-LT" w:eastAsia="en-US"/>
        </w:rPr>
        <w:t xml:space="preserve"> vidurkis – tai </w:t>
      </w:r>
      <w:hyperlink r:id="rId8" w:tooltip="Vidurkis" w:history="1">
        <w:r w:rsidR="009D30F4" w:rsidRPr="00F17ECC">
          <w:rPr>
            <w:rFonts w:ascii="Trebuchet MS" w:hAnsi="Trebuchet MS"/>
            <w:color w:val="000000"/>
            <w:szCs w:val="22"/>
            <w:lang w:val="lt-LT" w:eastAsia="en-US"/>
          </w:rPr>
          <w:t>vidurkis</w:t>
        </w:r>
      </w:hyperlink>
      <w:r w:rsidR="009D30F4" w:rsidRPr="00F17ECC">
        <w:rPr>
          <w:rFonts w:ascii="Trebuchet MS" w:hAnsi="Trebuchet MS"/>
          <w:color w:val="000000"/>
          <w:szCs w:val="22"/>
          <w:lang w:val="lt-LT" w:eastAsia="en-US"/>
        </w:rPr>
        <w:t>, skaičiuojamas sudedant visas reikšmes ir padalijant šią sumą iš reikšmių skaičiaus.</w:t>
      </w:r>
      <w:r w:rsidR="00256469" w:rsidRPr="00F17ECC">
        <w:rPr>
          <w:rFonts w:ascii="Trebuchet MS" w:hAnsi="Trebuchet MS"/>
          <w:color w:val="000000"/>
          <w:szCs w:val="22"/>
          <w:lang w:val="lt-LT" w:eastAsia="en-US"/>
        </w:rPr>
        <w:t xml:space="preserve"> Pavyzdžiui, </w:t>
      </w:r>
      <w:r w:rsidR="00437C79" w:rsidRPr="00F17ECC">
        <w:rPr>
          <w:rFonts w:ascii="Trebuchet MS" w:hAnsi="Trebuchet MS"/>
          <w:color w:val="000000"/>
          <w:szCs w:val="22"/>
          <w:lang w:val="lt-LT" w:eastAsia="en-US"/>
        </w:rPr>
        <w:t xml:space="preserve">aritmetinis vidurkis taikomas, kai </w:t>
      </w:r>
      <w:r w:rsidR="009D30F4" w:rsidRPr="00F17ECC">
        <w:rPr>
          <w:rFonts w:ascii="Trebuchet MS" w:hAnsi="Trebuchet MS"/>
          <w:color w:val="000000"/>
          <w:szCs w:val="22"/>
          <w:lang w:val="lt-LT" w:eastAsia="en-US"/>
        </w:rPr>
        <w:t xml:space="preserve">iš kiekvienos atrinktos palyginamosios įmonės metinių </w:t>
      </w:r>
      <w:r w:rsidR="00437C79" w:rsidRPr="00F17ECC">
        <w:rPr>
          <w:rFonts w:ascii="Trebuchet MS" w:hAnsi="Trebuchet MS"/>
          <w:color w:val="000000"/>
          <w:szCs w:val="22"/>
          <w:lang w:val="lt-LT" w:eastAsia="en-US"/>
        </w:rPr>
        <w:t xml:space="preserve">rodiklių </w:t>
      </w:r>
      <w:r w:rsidR="009D30F4" w:rsidRPr="00F17ECC">
        <w:rPr>
          <w:rFonts w:ascii="Trebuchet MS" w:hAnsi="Trebuchet MS"/>
          <w:color w:val="000000"/>
          <w:szCs w:val="22"/>
          <w:lang w:val="lt-LT" w:eastAsia="en-US"/>
        </w:rPr>
        <w:t xml:space="preserve">išvedamas </w:t>
      </w:r>
      <w:r w:rsidR="00437C79" w:rsidRPr="00F17ECC">
        <w:rPr>
          <w:rFonts w:ascii="Trebuchet MS" w:hAnsi="Trebuchet MS"/>
          <w:color w:val="000000"/>
          <w:szCs w:val="22"/>
          <w:lang w:val="lt-LT" w:eastAsia="en-US"/>
        </w:rPr>
        <w:t>šių</w:t>
      </w:r>
      <w:r w:rsidR="009D30F4" w:rsidRPr="00F17ECC">
        <w:rPr>
          <w:rFonts w:ascii="Trebuchet MS" w:hAnsi="Trebuchet MS"/>
          <w:color w:val="000000"/>
          <w:szCs w:val="22"/>
          <w:lang w:val="lt-LT" w:eastAsia="en-US"/>
        </w:rPr>
        <w:t xml:space="preserve"> rodikli</w:t>
      </w:r>
      <w:r w:rsidR="00437C79" w:rsidRPr="00F17ECC">
        <w:rPr>
          <w:rFonts w:ascii="Trebuchet MS" w:hAnsi="Trebuchet MS"/>
          <w:color w:val="000000"/>
          <w:szCs w:val="22"/>
          <w:lang w:val="lt-LT" w:eastAsia="en-US"/>
        </w:rPr>
        <w:t>ų</w:t>
      </w:r>
      <w:r w:rsidR="009D30F4" w:rsidRPr="00F17ECC">
        <w:rPr>
          <w:rFonts w:ascii="Trebuchet MS" w:hAnsi="Trebuchet MS"/>
          <w:color w:val="000000"/>
          <w:szCs w:val="22"/>
          <w:lang w:val="lt-LT" w:eastAsia="en-US"/>
        </w:rPr>
        <w:t xml:space="preserve"> vidurkis</w:t>
      </w:r>
      <w:r w:rsidR="00256469" w:rsidRPr="00F17ECC">
        <w:rPr>
          <w:rFonts w:ascii="Trebuchet MS" w:hAnsi="Trebuchet MS"/>
          <w:color w:val="000000"/>
          <w:szCs w:val="22"/>
          <w:lang w:val="lt-LT" w:eastAsia="en-US"/>
        </w:rPr>
        <w:t>.</w:t>
      </w:r>
    </w:p>
    <w:p w14:paraId="72DB3403" w14:textId="0FB2427F" w:rsidR="009D30F4" w:rsidRPr="00830824" w:rsidRDefault="006871CF"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2. </w:t>
      </w:r>
      <w:r w:rsidR="00256469" w:rsidRPr="00F17ECC">
        <w:rPr>
          <w:rFonts w:ascii="Trebuchet MS" w:hAnsi="Trebuchet MS"/>
          <w:color w:val="000000"/>
          <w:szCs w:val="22"/>
          <w:lang w:val="lt-LT" w:eastAsia="en-US"/>
        </w:rPr>
        <w:t>S</w:t>
      </w:r>
      <w:r w:rsidR="009D30F4" w:rsidRPr="00F17ECC">
        <w:rPr>
          <w:rFonts w:ascii="Trebuchet MS" w:hAnsi="Trebuchet MS"/>
          <w:color w:val="000000"/>
          <w:szCs w:val="22"/>
          <w:lang w:val="lt-LT" w:eastAsia="en-US"/>
        </w:rPr>
        <w:t>vertinis vidurkis</w:t>
      </w:r>
      <w:r w:rsidR="00B8037C" w:rsidRPr="00F17ECC">
        <w:rPr>
          <w:rFonts w:ascii="Trebuchet MS" w:hAnsi="Trebuchet MS"/>
          <w:color w:val="000000"/>
          <w:szCs w:val="22"/>
          <w:lang w:val="lt-LT" w:eastAsia="en-US"/>
        </w:rPr>
        <w:t xml:space="preserve"> - jis</w:t>
      </w:r>
      <w:r w:rsidR="0092371D" w:rsidRPr="00F17ECC">
        <w:rPr>
          <w:rFonts w:ascii="Trebuchet MS" w:hAnsi="Trebuchet MS"/>
          <w:color w:val="000000"/>
          <w:szCs w:val="22"/>
          <w:lang w:val="lt-LT" w:eastAsia="en-US"/>
        </w:rPr>
        <w:t xml:space="preserve"> skiriasi nuo aritmetinio vidurkio tuo, </w:t>
      </w:r>
      <w:r w:rsidR="00B8037C" w:rsidRPr="00F17ECC">
        <w:rPr>
          <w:rFonts w:ascii="Trebuchet MS" w:hAnsi="Trebuchet MS"/>
          <w:color w:val="000000"/>
          <w:szCs w:val="22"/>
          <w:lang w:val="lt-LT" w:eastAsia="en-US"/>
        </w:rPr>
        <w:t>jog</w:t>
      </w:r>
      <w:r w:rsidR="0092371D" w:rsidRPr="00F17ECC">
        <w:rPr>
          <w:rFonts w:ascii="Trebuchet MS" w:hAnsi="Trebuchet MS"/>
          <w:color w:val="000000"/>
          <w:szCs w:val="22"/>
          <w:lang w:val="lt-LT" w:eastAsia="en-US"/>
        </w:rPr>
        <w:t xml:space="preserve"> nesuteikia vienodos reikšmės visoms vertėms. </w:t>
      </w:r>
      <w:r w:rsidR="009D30F4" w:rsidRPr="00F17ECC">
        <w:rPr>
          <w:rFonts w:ascii="Trebuchet MS" w:hAnsi="Trebuchet MS"/>
          <w:color w:val="000000"/>
          <w:szCs w:val="22"/>
          <w:lang w:val="lt-LT" w:eastAsia="en-US"/>
        </w:rPr>
        <w:t xml:space="preserve"> </w:t>
      </w:r>
      <w:r w:rsidR="00B8037C" w:rsidRPr="00F17ECC">
        <w:rPr>
          <w:rFonts w:ascii="Trebuchet MS" w:hAnsi="Trebuchet MS"/>
          <w:color w:val="000000"/>
          <w:szCs w:val="22"/>
          <w:lang w:val="lt-LT" w:eastAsia="en-US"/>
        </w:rPr>
        <w:t xml:space="preserve">Svertinis vidurkis </w:t>
      </w:r>
      <w:r w:rsidR="00256469" w:rsidRPr="00F17ECC">
        <w:rPr>
          <w:rFonts w:ascii="Trebuchet MS" w:hAnsi="Trebuchet MS"/>
          <w:color w:val="000000"/>
          <w:szCs w:val="22"/>
          <w:lang w:val="lt-LT" w:eastAsia="en-US"/>
        </w:rPr>
        <w:t>leidžia apskaičiuoti skirtingų svorių verčių vidurkį. Kuo didesnis vertės svoris, tuo didesnį poveikį ji turės galutiniam vidurkiui.</w:t>
      </w:r>
      <w:r w:rsidR="00437C79" w:rsidRPr="00F17ECC">
        <w:rPr>
          <w:rFonts w:ascii="Trebuchet MS" w:hAnsi="Trebuchet MS"/>
          <w:color w:val="000000"/>
          <w:szCs w:val="22"/>
          <w:lang w:val="lt-LT" w:eastAsia="en-US"/>
        </w:rPr>
        <w:t xml:space="preserve"> </w:t>
      </w:r>
      <w:r w:rsidR="0092371D" w:rsidRPr="00F17ECC">
        <w:rPr>
          <w:rFonts w:ascii="Trebuchet MS" w:hAnsi="Trebuchet MS"/>
          <w:color w:val="000000"/>
          <w:szCs w:val="22"/>
          <w:lang w:val="lt-LT" w:eastAsia="en-US"/>
        </w:rPr>
        <w:t xml:space="preserve">Jis </w:t>
      </w:r>
      <w:r w:rsidR="00437C79" w:rsidRPr="00F17ECC">
        <w:rPr>
          <w:rFonts w:ascii="Trebuchet MS" w:hAnsi="Trebuchet MS"/>
          <w:color w:val="000000"/>
          <w:szCs w:val="22"/>
          <w:lang w:val="lt-LT" w:eastAsia="en-US"/>
        </w:rPr>
        <w:t xml:space="preserve">apskaičiuojamas sudedant </w:t>
      </w:r>
      <w:r w:rsidR="00256469" w:rsidRPr="00F17ECC">
        <w:rPr>
          <w:rFonts w:ascii="Trebuchet MS" w:hAnsi="Trebuchet MS"/>
          <w:color w:val="000000"/>
          <w:szCs w:val="22"/>
          <w:lang w:val="lt-LT" w:eastAsia="en-US"/>
        </w:rPr>
        <w:t>kiekvieną skaičių, padaugintą iš jo svorio</w:t>
      </w:r>
      <w:r w:rsidR="00437C79" w:rsidRPr="00F17ECC">
        <w:rPr>
          <w:rFonts w:ascii="Trebuchet MS" w:hAnsi="Trebuchet MS"/>
          <w:color w:val="000000"/>
          <w:szCs w:val="22"/>
          <w:lang w:val="lt-LT" w:eastAsia="en-US"/>
        </w:rPr>
        <w:t xml:space="preserve">, ir gautą rezultatą </w:t>
      </w:r>
      <w:r w:rsidR="00256469" w:rsidRPr="00F17ECC">
        <w:rPr>
          <w:rFonts w:ascii="Trebuchet MS" w:hAnsi="Trebuchet MS"/>
          <w:color w:val="000000"/>
          <w:szCs w:val="22"/>
          <w:lang w:val="lt-LT" w:eastAsia="en-US"/>
        </w:rPr>
        <w:t>padalin</w:t>
      </w:r>
      <w:r w:rsidR="00437C79" w:rsidRPr="00F17ECC">
        <w:rPr>
          <w:rFonts w:ascii="Trebuchet MS" w:hAnsi="Trebuchet MS"/>
          <w:color w:val="000000"/>
          <w:szCs w:val="22"/>
          <w:lang w:val="lt-LT" w:eastAsia="en-US"/>
        </w:rPr>
        <w:t>ant</w:t>
      </w:r>
      <w:r w:rsidR="00256469" w:rsidRPr="00F17ECC">
        <w:rPr>
          <w:rFonts w:ascii="Trebuchet MS" w:hAnsi="Trebuchet MS"/>
          <w:color w:val="000000"/>
          <w:szCs w:val="22"/>
          <w:lang w:val="lt-LT" w:eastAsia="en-US"/>
        </w:rPr>
        <w:t xml:space="preserve"> iš visų svorių sumos.</w:t>
      </w:r>
      <w:r w:rsidR="00437C79" w:rsidRPr="00F17ECC">
        <w:rPr>
          <w:rFonts w:ascii="Trebuchet MS" w:hAnsi="Trebuchet MS"/>
          <w:color w:val="000000"/>
          <w:szCs w:val="22"/>
          <w:lang w:val="lt-LT" w:eastAsia="en-US"/>
        </w:rPr>
        <w:t xml:space="preserve"> </w:t>
      </w:r>
      <w:r w:rsidR="00C62ABB" w:rsidRPr="00830824">
        <w:rPr>
          <w:rFonts w:ascii="Trebuchet MS" w:hAnsi="Trebuchet MS"/>
          <w:i/>
          <w:color w:val="000000"/>
          <w:szCs w:val="22"/>
          <w:lang w:val="lt-LT" w:eastAsia="en-US"/>
        </w:rPr>
        <w:t xml:space="preserve">Dėl šio metodo naudojimo plačiau žr. </w:t>
      </w:r>
      <w:r w:rsidR="00830824" w:rsidRPr="00830824">
        <w:rPr>
          <w:rFonts w:ascii="Trebuchet MS" w:hAnsi="Trebuchet MS"/>
          <w:i/>
          <w:color w:val="000000"/>
          <w:szCs w:val="22"/>
          <w:lang w:val="lt-LT" w:eastAsia="en-US"/>
        </w:rPr>
        <w:t>1</w:t>
      </w:r>
      <w:r w:rsidR="00412C3E">
        <w:rPr>
          <w:rFonts w:ascii="Trebuchet MS" w:hAnsi="Trebuchet MS"/>
          <w:i/>
          <w:color w:val="000000"/>
          <w:szCs w:val="22"/>
          <w:lang w:val="lt-LT" w:eastAsia="en-US"/>
        </w:rPr>
        <w:t>1</w:t>
      </w:r>
      <w:r w:rsidR="00C62ABB" w:rsidRPr="00830824">
        <w:rPr>
          <w:rFonts w:ascii="Trebuchet MS" w:hAnsi="Trebuchet MS"/>
          <w:i/>
          <w:color w:val="000000"/>
          <w:szCs w:val="22"/>
          <w:lang w:val="lt-LT" w:eastAsia="en-US"/>
        </w:rPr>
        <w:t xml:space="preserve"> klausimą.</w:t>
      </w:r>
    </w:p>
    <w:p w14:paraId="4EF035F3" w14:textId="5670A177" w:rsidR="009D30F4" w:rsidRPr="00F17ECC" w:rsidRDefault="006871CF" w:rsidP="00C9122C">
      <w:pPr>
        <w:autoSpaceDE w:val="0"/>
        <w:autoSpaceDN w:val="0"/>
        <w:adjustRightInd w:val="0"/>
        <w:spacing w:after="0"/>
        <w:ind w:firstLine="720"/>
        <w:jc w:val="both"/>
        <w:rPr>
          <w:rFonts w:ascii="Trebuchet MS" w:hAnsi="Trebuchet MS"/>
          <w:color w:val="000000"/>
          <w:szCs w:val="22"/>
          <w:lang w:val="lt-LT" w:eastAsia="en-US"/>
        </w:rPr>
      </w:pPr>
      <w:r w:rsidRPr="00830824">
        <w:rPr>
          <w:rFonts w:ascii="Trebuchet MS" w:hAnsi="Trebuchet MS"/>
          <w:color w:val="000000"/>
          <w:szCs w:val="22"/>
          <w:lang w:val="lt-LT" w:eastAsia="en-US"/>
        </w:rPr>
        <w:t xml:space="preserve">3. </w:t>
      </w:r>
      <w:r w:rsidR="009D30F4" w:rsidRPr="00830824">
        <w:rPr>
          <w:rFonts w:ascii="Trebuchet MS" w:hAnsi="Trebuchet MS"/>
          <w:color w:val="000000"/>
          <w:szCs w:val="22"/>
          <w:lang w:val="lt-LT" w:eastAsia="en-US"/>
        </w:rPr>
        <w:t xml:space="preserve">Kvartiliai – skaičiai, kurie dalina </w:t>
      </w:r>
      <w:r w:rsidR="00B8037C" w:rsidRPr="00830824">
        <w:rPr>
          <w:rFonts w:ascii="Trebuchet MS" w:hAnsi="Trebuchet MS"/>
          <w:color w:val="000000"/>
          <w:szCs w:val="22"/>
          <w:lang w:val="lt-LT" w:eastAsia="en-US"/>
        </w:rPr>
        <w:t xml:space="preserve">imties rodiklių reikšmių, surūšiuotų didėjimo tvarka, eilutę </w:t>
      </w:r>
      <w:r w:rsidR="009D30F4" w:rsidRPr="00830824">
        <w:rPr>
          <w:rFonts w:ascii="Trebuchet MS" w:hAnsi="Trebuchet MS"/>
          <w:color w:val="000000"/>
          <w:szCs w:val="22"/>
          <w:lang w:val="lt-LT" w:eastAsia="en-US"/>
        </w:rPr>
        <w:t xml:space="preserve">į keturias vienodas dalis. </w:t>
      </w:r>
      <w:r w:rsidR="00C62ABB" w:rsidRPr="00830824">
        <w:rPr>
          <w:rFonts w:ascii="Trebuchet MS" w:hAnsi="Trebuchet MS"/>
          <w:i/>
          <w:color w:val="000000"/>
          <w:szCs w:val="22"/>
          <w:lang w:val="lt-LT" w:eastAsia="en-US"/>
        </w:rPr>
        <w:t xml:space="preserve">Dėl šio metodo skaičiavimo plačiau žr. </w:t>
      </w:r>
      <w:r w:rsidR="00830824" w:rsidRPr="00830824">
        <w:rPr>
          <w:rFonts w:ascii="Trebuchet MS" w:hAnsi="Trebuchet MS"/>
          <w:i/>
          <w:color w:val="000000"/>
          <w:szCs w:val="22"/>
          <w:lang w:val="lt-LT" w:eastAsia="en-US"/>
        </w:rPr>
        <w:t>1</w:t>
      </w:r>
      <w:r w:rsidR="00412C3E">
        <w:rPr>
          <w:rFonts w:ascii="Trebuchet MS" w:hAnsi="Trebuchet MS"/>
          <w:i/>
          <w:color w:val="000000"/>
          <w:szCs w:val="22"/>
          <w:lang w:val="lt-LT" w:eastAsia="en-US"/>
        </w:rPr>
        <w:t>6</w:t>
      </w:r>
      <w:r w:rsidR="00C62ABB" w:rsidRPr="00830824">
        <w:rPr>
          <w:rFonts w:ascii="Trebuchet MS" w:hAnsi="Trebuchet MS"/>
          <w:i/>
          <w:color w:val="000000"/>
          <w:szCs w:val="22"/>
          <w:lang w:val="lt-LT" w:eastAsia="en-US"/>
        </w:rPr>
        <w:t xml:space="preserve"> klausimą.</w:t>
      </w:r>
    </w:p>
    <w:p w14:paraId="64A19611" w14:textId="16E359E6" w:rsidR="006871CF" w:rsidRPr="00F17ECC" w:rsidRDefault="006871CF"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4. </w:t>
      </w:r>
      <w:r w:rsidR="009D30F4" w:rsidRPr="00F17ECC">
        <w:rPr>
          <w:rFonts w:ascii="Trebuchet MS" w:hAnsi="Trebuchet MS"/>
          <w:color w:val="000000"/>
          <w:szCs w:val="22"/>
          <w:lang w:val="lt-LT" w:eastAsia="en-US"/>
        </w:rPr>
        <w:t xml:space="preserve">Mediana – imties </w:t>
      </w:r>
      <w:r w:rsidR="00B8037C" w:rsidRPr="00F17ECC">
        <w:rPr>
          <w:rFonts w:ascii="Trebuchet MS" w:hAnsi="Trebuchet MS"/>
          <w:color w:val="000000"/>
          <w:szCs w:val="22"/>
          <w:lang w:val="lt-LT" w:eastAsia="en-US"/>
        </w:rPr>
        <w:t xml:space="preserve">rodiklių reikšmių, surūšiuotų didėjimo tvarka, eilutės </w:t>
      </w:r>
      <w:r w:rsidR="009D30F4" w:rsidRPr="00F17ECC">
        <w:rPr>
          <w:rFonts w:ascii="Trebuchet MS" w:hAnsi="Trebuchet MS"/>
          <w:color w:val="000000"/>
          <w:szCs w:val="22"/>
          <w:lang w:val="lt-LT" w:eastAsia="en-US"/>
        </w:rPr>
        <w:t xml:space="preserve">vidurinis skaičius, kuris dalina eilutę į dvi maždaug lygias dalis ir parodo </w:t>
      </w:r>
      <w:r w:rsidR="00B8037C" w:rsidRPr="00F17ECC">
        <w:rPr>
          <w:rFonts w:ascii="Trebuchet MS" w:hAnsi="Trebuchet MS"/>
          <w:color w:val="000000"/>
          <w:szCs w:val="22"/>
          <w:lang w:val="lt-LT" w:eastAsia="en-US"/>
        </w:rPr>
        <w:t>rodiklio</w:t>
      </w:r>
      <w:r w:rsidR="009D30F4" w:rsidRPr="00F17ECC">
        <w:rPr>
          <w:rFonts w:ascii="Trebuchet MS" w:hAnsi="Trebuchet MS"/>
          <w:color w:val="000000"/>
          <w:szCs w:val="22"/>
          <w:lang w:val="lt-LT" w:eastAsia="en-US"/>
        </w:rPr>
        <w:t xml:space="preserve">, atitinkančio poziciją (n+1)/2, reikšmę. Jeigu </w:t>
      </w:r>
      <w:r w:rsidR="00B8037C" w:rsidRPr="00F17ECC">
        <w:rPr>
          <w:rFonts w:ascii="Trebuchet MS" w:hAnsi="Trebuchet MS"/>
          <w:color w:val="000000"/>
          <w:szCs w:val="22"/>
          <w:lang w:val="lt-LT" w:eastAsia="en-US"/>
        </w:rPr>
        <w:t>rodiklių</w:t>
      </w:r>
      <w:r w:rsidR="009D30F4" w:rsidRPr="00F17ECC">
        <w:rPr>
          <w:rFonts w:ascii="Trebuchet MS" w:hAnsi="Trebuchet MS"/>
          <w:color w:val="000000"/>
          <w:szCs w:val="22"/>
          <w:lang w:val="lt-LT" w:eastAsia="en-US"/>
        </w:rPr>
        <w:t xml:space="preserve"> skaičius n</w:t>
      </w:r>
      <w:r w:rsidR="00B8037C" w:rsidRPr="00F17ECC">
        <w:rPr>
          <w:rFonts w:ascii="Trebuchet MS" w:hAnsi="Trebuchet MS"/>
          <w:color w:val="000000"/>
          <w:szCs w:val="22"/>
          <w:lang w:val="lt-LT" w:eastAsia="en-US"/>
        </w:rPr>
        <w:t xml:space="preserve"> yra</w:t>
      </w:r>
      <w:r w:rsidR="009D30F4" w:rsidRPr="00F17ECC">
        <w:rPr>
          <w:rFonts w:ascii="Trebuchet MS" w:hAnsi="Trebuchet MS"/>
          <w:color w:val="000000"/>
          <w:szCs w:val="22"/>
          <w:lang w:val="lt-LT" w:eastAsia="en-US"/>
        </w:rPr>
        <w:t xml:space="preserve"> lyginis, tai mediana yra dviejų gretimų </w:t>
      </w:r>
      <w:r w:rsidR="00B8037C" w:rsidRPr="00F17ECC">
        <w:rPr>
          <w:rFonts w:ascii="Trebuchet MS" w:hAnsi="Trebuchet MS"/>
          <w:color w:val="000000"/>
          <w:szCs w:val="22"/>
          <w:lang w:val="lt-LT" w:eastAsia="en-US"/>
        </w:rPr>
        <w:t>rodiklių reikšmių</w:t>
      </w:r>
      <w:r w:rsidR="009D30F4" w:rsidRPr="00F17ECC">
        <w:rPr>
          <w:rFonts w:ascii="Trebuchet MS" w:hAnsi="Trebuchet MS"/>
          <w:color w:val="000000"/>
          <w:szCs w:val="22"/>
          <w:lang w:val="lt-LT" w:eastAsia="en-US"/>
        </w:rPr>
        <w:t xml:space="preserve">, esančių eilutės viduryje, aritmetinis vidurkis, o jeigu </w:t>
      </w:r>
      <w:r w:rsidR="00B8037C" w:rsidRPr="00F17ECC">
        <w:rPr>
          <w:rFonts w:ascii="Trebuchet MS" w:hAnsi="Trebuchet MS"/>
          <w:color w:val="000000"/>
          <w:szCs w:val="22"/>
          <w:lang w:val="lt-LT" w:eastAsia="en-US"/>
        </w:rPr>
        <w:t>rodiklių reikšmių</w:t>
      </w:r>
      <w:r w:rsidR="009D30F4" w:rsidRPr="00F17ECC">
        <w:rPr>
          <w:rFonts w:ascii="Trebuchet MS" w:hAnsi="Trebuchet MS"/>
          <w:color w:val="000000"/>
          <w:szCs w:val="22"/>
          <w:lang w:val="lt-LT" w:eastAsia="en-US"/>
        </w:rPr>
        <w:t xml:space="preserve"> skaičius n nelyginis, mediana yra imties</w:t>
      </w:r>
      <w:r w:rsidR="00025632" w:rsidRPr="00F17ECC">
        <w:rPr>
          <w:rFonts w:ascii="Trebuchet MS" w:hAnsi="Trebuchet MS"/>
          <w:color w:val="000000"/>
          <w:szCs w:val="22"/>
          <w:lang w:val="lt-LT" w:eastAsia="en-US"/>
        </w:rPr>
        <w:t xml:space="preserve"> rodiklių reikšmių</w:t>
      </w:r>
      <w:r w:rsidR="009D30F4" w:rsidRPr="00F17ECC">
        <w:rPr>
          <w:rFonts w:ascii="Trebuchet MS" w:hAnsi="Trebuchet MS"/>
          <w:color w:val="000000"/>
          <w:szCs w:val="22"/>
          <w:lang w:val="lt-LT" w:eastAsia="en-US"/>
        </w:rPr>
        <w:t xml:space="preserve"> eilutės vidurinis skaičius.</w:t>
      </w:r>
    </w:p>
    <w:p w14:paraId="448B42EA" w14:textId="2D813EEE" w:rsidR="00286F21" w:rsidRPr="00F17ECC" w:rsidRDefault="006871CF" w:rsidP="00C9122C">
      <w:pPr>
        <w:autoSpaceDE w:val="0"/>
        <w:autoSpaceDN w:val="0"/>
        <w:adjustRightInd w:val="0"/>
        <w:spacing w:after="0"/>
        <w:ind w:firstLine="720"/>
        <w:jc w:val="both"/>
        <w:rPr>
          <w:rFonts w:ascii="Trebuchet MS" w:hAnsi="Trebuchet MS"/>
          <w:lang w:val="lt-LT"/>
        </w:rPr>
      </w:pPr>
      <w:r w:rsidRPr="00F17ECC">
        <w:rPr>
          <w:rFonts w:ascii="Trebuchet MS" w:hAnsi="Trebuchet MS"/>
          <w:lang w:val="lt-LT"/>
        </w:rPr>
        <w:t xml:space="preserve">Pagrindžiant kontroliuojamųjų sandorių kainų atitikimą IRP rekomenduojama naudoti kuo aiškesnius ir paprastesnius skaičiavimo </w:t>
      </w:r>
      <w:r w:rsidR="00C62ABB" w:rsidRPr="00F17ECC">
        <w:rPr>
          <w:rFonts w:ascii="Trebuchet MS" w:hAnsi="Trebuchet MS"/>
          <w:lang w:val="lt-LT"/>
        </w:rPr>
        <w:t xml:space="preserve">metodus ir </w:t>
      </w:r>
      <w:r w:rsidRPr="00F17ECC">
        <w:rPr>
          <w:rFonts w:ascii="Trebuchet MS" w:hAnsi="Trebuchet MS"/>
          <w:lang w:val="lt-LT"/>
        </w:rPr>
        <w:t xml:space="preserve">būdus, kontroliuojamųjų sandorių pagrindimo dokumentuose atskleidžiant, kaip jie padeda užtikrinti parenkamo (apskaičiuojamo) rodiklio tinkamumą ir patikimumą. Vien tai, kad egzistuoja tam tikri statistiniai metodai, nepagrindžia tokių metodų taikymo konkrečiu atveju poreikio. Mokesčių mokėtojui pasirinkus taikyti rečiau naudojamus statistinius metodus (ypač, jeigu naudojami sudėtingesni skaičiavimai) siūlytina </w:t>
      </w:r>
      <w:r w:rsidR="004D4A2F" w:rsidRPr="00F17ECC">
        <w:rPr>
          <w:rFonts w:ascii="Trebuchet MS" w:hAnsi="Trebuchet MS"/>
          <w:lang w:val="lt-LT"/>
        </w:rPr>
        <w:t xml:space="preserve">kontroliuojamųjų sandorių </w:t>
      </w:r>
      <w:r w:rsidRPr="00F17ECC">
        <w:rPr>
          <w:rFonts w:ascii="Trebuchet MS" w:hAnsi="Trebuchet MS"/>
          <w:lang w:val="lt-LT"/>
        </w:rPr>
        <w:t>kainodaros pagrindimo dokumentuose pateikti pagrindimą, kaip / kodėl pasirinktas konkretus statistinis metodas leidžia patikimiau apskaičiuoti IRP atitinkantį intervalą</w:t>
      </w:r>
      <w:r w:rsidR="0028727E">
        <w:rPr>
          <w:rFonts w:ascii="Trebuchet MS" w:hAnsi="Trebuchet MS"/>
          <w:lang w:val="lt-LT"/>
        </w:rPr>
        <w:t>.</w:t>
      </w:r>
    </w:p>
    <w:p w14:paraId="7350EF03" w14:textId="77777777" w:rsidR="004D5893" w:rsidRPr="00F17ECC" w:rsidRDefault="004D5893" w:rsidP="00C9122C">
      <w:pPr>
        <w:autoSpaceDE w:val="0"/>
        <w:autoSpaceDN w:val="0"/>
        <w:adjustRightInd w:val="0"/>
        <w:spacing w:after="0"/>
        <w:ind w:firstLine="720"/>
        <w:jc w:val="both"/>
        <w:rPr>
          <w:rFonts w:ascii="Trebuchet MS" w:hAnsi="Trebuchet MS"/>
          <w:b/>
          <w:szCs w:val="22"/>
          <w:lang w:val="lt-LT"/>
        </w:rPr>
      </w:pPr>
    </w:p>
    <w:p w14:paraId="2FD18C6E" w14:textId="5CC16C77" w:rsidR="007453CD" w:rsidRPr="00F17ECC" w:rsidRDefault="00ED07F9" w:rsidP="00C9122C">
      <w:pPr>
        <w:autoSpaceDE w:val="0"/>
        <w:autoSpaceDN w:val="0"/>
        <w:adjustRightInd w:val="0"/>
        <w:spacing w:after="0"/>
        <w:ind w:firstLine="720"/>
        <w:jc w:val="both"/>
        <w:rPr>
          <w:rFonts w:ascii="Trebuchet MS" w:hAnsi="Trebuchet MS"/>
          <w:lang w:val="lt-LT"/>
        </w:rPr>
      </w:pPr>
      <w:r w:rsidRPr="00F17ECC">
        <w:rPr>
          <w:rFonts w:ascii="Trebuchet MS" w:hAnsi="Trebuchet MS"/>
          <w:b/>
          <w:szCs w:val="22"/>
          <w:lang w:val="lt-LT"/>
        </w:rPr>
        <w:t>5</w:t>
      </w:r>
      <w:r w:rsidR="007453CD" w:rsidRPr="00F17ECC">
        <w:rPr>
          <w:rFonts w:ascii="Trebuchet MS" w:hAnsi="Trebuchet MS"/>
          <w:b/>
          <w:szCs w:val="22"/>
          <w:lang w:val="lt-LT"/>
        </w:rPr>
        <w:t>.</w:t>
      </w:r>
      <w:r w:rsidR="007453CD" w:rsidRPr="00F17ECC">
        <w:rPr>
          <w:rFonts w:ascii="Trebuchet MS" w:hAnsi="Trebuchet MS"/>
          <w:szCs w:val="22"/>
          <w:lang w:val="lt-LT"/>
        </w:rPr>
        <w:t xml:space="preserve"> </w:t>
      </w:r>
      <w:r w:rsidR="007453CD" w:rsidRPr="00F17ECC">
        <w:rPr>
          <w:rFonts w:ascii="Trebuchet MS" w:hAnsi="Trebuchet MS"/>
          <w:b/>
          <w:szCs w:val="22"/>
          <w:lang w:val="lt-LT"/>
        </w:rPr>
        <w:t>Kelerių metų palyginimų duomenys turi būti naudojami ištiestosios rankos intervalui sudaryti?</w:t>
      </w:r>
    </w:p>
    <w:p w14:paraId="15051D6C" w14:textId="3F8E7074" w:rsidR="007453CD" w:rsidRPr="00F17ECC" w:rsidRDefault="0070397A" w:rsidP="00C9122C">
      <w:pPr>
        <w:autoSpaceDE w:val="0"/>
        <w:autoSpaceDN w:val="0"/>
        <w:adjustRightInd w:val="0"/>
        <w:spacing w:after="0"/>
        <w:ind w:firstLine="720"/>
        <w:jc w:val="both"/>
        <w:rPr>
          <w:rFonts w:ascii="Trebuchet MS" w:hAnsi="Trebuchet MS"/>
          <w:szCs w:val="22"/>
          <w:lang w:val="lt-LT" w:eastAsia="en-US"/>
        </w:rPr>
      </w:pPr>
      <w:r w:rsidRPr="00F17ECC">
        <w:rPr>
          <w:rFonts w:ascii="Trebuchet MS" w:hAnsi="Trebuchet MS"/>
          <w:szCs w:val="22"/>
          <w:lang w:val="lt-LT" w:eastAsia="en-US"/>
        </w:rPr>
        <w:t>Bendroji rekomendacija, kuria vadovaujamasi tiek Lietuvos, tiek tarptautinėje praktikoje</w:t>
      </w:r>
      <w:r w:rsidR="006C1E29">
        <w:rPr>
          <w:rFonts w:ascii="Trebuchet MS" w:hAnsi="Trebuchet MS"/>
          <w:szCs w:val="22"/>
          <w:lang w:val="lt-LT" w:eastAsia="en-US"/>
        </w:rPr>
        <w:t>,</w:t>
      </w:r>
      <w:r w:rsidRPr="00F17ECC">
        <w:rPr>
          <w:rFonts w:ascii="Trebuchet MS" w:hAnsi="Trebuchet MS"/>
          <w:szCs w:val="22"/>
          <w:lang w:val="lt-LT" w:eastAsia="en-US"/>
        </w:rPr>
        <w:t xml:space="preserve"> yra </w:t>
      </w:r>
      <w:r w:rsidR="007453CD" w:rsidRPr="00F17ECC">
        <w:rPr>
          <w:rFonts w:ascii="Trebuchet MS" w:hAnsi="Trebuchet MS"/>
          <w:szCs w:val="22"/>
          <w:lang w:val="lt-LT" w:eastAsia="en-US"/>
        </w:rPr>
        <w:t xml:space="preserve">sudarant ištiestosios rankos intervalą, naudoti 3 m. periodo duomenis. </w:t>
      </w:r>
      <w:r w:rsidRPr="00F17ECC">
        <w:rPr>
          <w:rFonts w:ascii="Trebuchet MS" w:hAnsi="Trebuchet MS"/>
          <w:szCs w:val="22"/>
          <w:lang w:val="lt-LT" w:eastAsia="en-US"/>
        </w:rPr>
        <w:t>Tai atliekama siekiant sumažinti palyginimų rodiklius iškreipiančių faktorių poveikį (pvz., rinkos krizė, atitinkamos pramonės šakos ekonominis ciklas, dėl vienkartinio sandorio ypatingai pelningi metai ir kt.).</w:t>
      </w:r>
    </w:p>
    <w:p w14:paraId="5080889E" w14:textId="2AFC7B29" w:rsidR="00ED07F9" w:rsidRPr="00F17ECC" w:rsidRDefault="0070397A" w:rsidP="00C9122C">
      <w:pPr>
        <w:autoSpaceDE w:val="0"/>
        <w:autoSpaceDN w:val="0"/>
        <w:adjustRightInd w:val="0"/>
        <w:spacing w:after="0"/>
        <w:ind w:firstLine="720"/>
        <w:jc w:val="both"/>
        <w:rPr>
          <w:rFonts w:ascii="Trebuchet MS" w:hAnsi="Trebuchet MS"/>
          <w:szCs w:val="22"/>
          <w:lang w:val="lt-LT" w:eastAsia="en-US"/>
        </w:rPr>
      </w:pPr>
      <w:r w:rsidRPr="00F17ECC">
        <w:rPr>
          <w:rFonts w:ascii="Trebuchet MS" w:hAnsi="Trebuchet MS"/>
          <w:szCs w:val="22"/>
          <w:lang w:val="lt-LT" w:eastAsia="en-US"/>
        </w:rPr>
        <w:t>Tačiau m</w:t>
      </w:r>
      <w:r w:rsidR="00ED07F9" w:rsidRPr="00F17ECC">
        <w:rPr>
          <w:rFonts w:ascii="Trebuchet MS" w:hAnsi="Trebuchet MS"/>
          <w:szCs w:val="22"/>
          <w:lang w:val="lt-LT" w:eastAsia="en-US"/>
        </w:rPr>
        <w:t xml:space="preserve">okesčių mokėtojas gali pasirinkti ir ilgesnio laikotarpio </w:t>
      </w:r>
      <w:r w:rsidRPr="00F17ECC">
        <w:rPr>
          <w:rFonts w:ascii="Trebuchet MS" w:hAnsi="Trebuchet MS"/>
          <w:szCs w:val="22"/>
          <w:lang w:val="lt-LT" w:eastAsia="en-US"/>
        </w:rPr>
        <w:t xml:space="preserve">nei 3 m. palyginimų duomenis, pagrįsdamas tokį pasirinkimą. Pavyzdžiui, ilgesnio nei 3 m. periodo duomenys (paprastai 4-5 m.) taikomi siekiant nustatyti būsimojo kontroliuojamojo sandorio kainą, kai kreipiamasi į mokesčių administratorių </w:t>
      </w:r>
      <w:r w:rsidR="009651C7">
        <w:rPr>
          <w:rFonts w:ascii="Trebuchet MS" w:hAnsi="Trebuchet MS"/>
          <w:szCs w:val="22"/>
          <w:lang w:val="lt-LT" w:eastAsia="en-US"/>
        </w:rPr>
        <w:t>vadovaujantis</w:t>
      </w:r>
      <w:r w:rsidRPr="00F17ECC">
        <w:rPr>
          <w:rFonts w:ascii="Trebuchet MS" w:hAnsi="Trebuchet MS"/>
          <w:szCs w:val="22"/>
          <w:lang w:val="lt-LT" w:eastAsia="en-US"/>
        </w:rPr>
        <w:t xml:space="preserve"> Lietuvos Respublikos mokesčių administravimo įstatymo 37</w:t>
      </w:r>
      <w:r w:rsidR="00CD2BCF">
        <w:rPr>
          <w:rFonts w:ascii="Trebuchet MS" w:hAnsi="Trebuchet MS"/>
          <w:szCs w:val="22"/>
          <w:vertAlign w:val="superscript"/>
          <w:lang w:val="lt-LT" w:eastAsia="en-US"/>
        </w:rPr>
        <w:t>2</w:t>
      </w:r>
      <w:r w:rsidRPr="00F17ECC">
        <w:rPr>
          <w:rFonts w:ascii="Trebuchet MS" w:hAnsi="Trebuchet MS"/>
          <w:szCs w:val="22"/>
          <w:lang w:val="lt-LT" w:eastAsia="en-US"/>
        </w:rPr>
        <w:t xml:space="preserve"> straipsn</w:t>
      </w:r>
      <w:r w:rsidR="009651C7">
        <w:rPr>
          <w:rFonts w:ascii="Trebuchet MS" w:hAnsi="Trebuchet MS"/>
          <w:szCs w:val="22"/>
          <w:lang w:val="lt-LT" w:eastAsia="en-US"/>
        </w:rPr>
        <w:t xml:space="preserve">iu </w:t>
      </w:r>
      <w:r w:rsidR="00DA49CE">
        <w:rPr>
          <w:rFonts w:ascii="Trebuchet MS" w:hAnsi="Trebuchet MS"/>
          <w:szCs w:val="22"/>
          <w:lang w:val="lt-LT" w:eastAsia="en-US"/>
        </w:rPr>
        <w:t>„</w:t>
      </w:r>
      <w:r w:rsidR="00CD2BCF" w:rsidRPr="00CD2BCF">
        <w:rPr>
          <w:rFonts w:ascii="Trebuchet MS" w:hAnsi="Trebuchet MS"/>
          <w:bCs/>
          <w:szCs w:val="22"/>
          <w:lang w:val="lt-LT" w:eastAsia="en-US"/>
        </w:rPr>
        <w:t>Mokesčių administratoriaus išankstini</w:t>
      </w:r>
      <w:r w:rsidR="00DB243E">
        <w:rPr>
          <w:rFonts w:ascii="Trebuchet MS" w:hAnsi="Trebuchet MS"/>
          <w:bCs/>
          <w:szCs w:val="22"/>
          <w:lang w:val="lt-LT" w:eastAsia="en-US"/>
        </w:rPr>
        <w:t>s</w:t>
      </w:r>
      <w:r w:rsidR="00CD2BCF" w:rsidRPr="00CD2BCF">
        <w:rPr>
          <w:rFonts w:ascii="Trebuchet MS" w:hAnsi="Trebuchet MS"/>
          <w:bCs/>
          <w:szCs w:val="22"/>
          <w:lang w:val="lt-LT" w:eastAsia="en-US"/>
        </w:rPr>
        <w:t xml:space="preserve"> įsipareigojim</w:t>
      </w:r>
      <w:r w:rsidR="00DB243E">
        <w:rPr>
          <w:rFonts w:ascii="Trebuchet MS" w:hAnsi="Trebuchet MS"/>
          <w:bCs/>
          <w:szCs w:val="22"/>
          <w:lang w:val="lt-LT" w:eastAsia="en-US"/>
        </w:rPr>
        <w:t>as</w:t>
      </w:r>
      <w:r w:rsidR="00CD2BCF" w:rsidRPr="00CD2BCF">
        <w:rPr>
          <w:rFonts w:ascii="Trebuchet MS" w:hAnsi="Trebuchet MS"/>
          <w:bCs/>
          <w:szCs w:val="22"/>
          <w:lang w:val="lt-LT" w:eastAsia="en-US"/>
        </w:rPr>
        <w:t xml:space="preserve"> dėl būsimojo sandorio kainodaros taisyklių</w:t>
      </w:r>
      <w:r w:rsidR="00DA49CE">
        <w:rPr>
          <w:rFonts w:ascii="Trebuchet MS" w:hAnsi="Trebuchet MS"/>
          <w:bCs/>
          <w:szCs w:val="22"/>
          <w:lang w:val="lt-LT" w:eastAsia="en-US"/>
        </w:rPr>
        <w:t>“</w:t>
      </w:r>
      <w:r w:rsidR="00A17C71">
        <w:rPr>
          <w:rFonts w:ascii="Trebuchet MS" w:hAnsi="Trebuchet MS"/>
          <w:bCs/>
          <w:szCs w:val="22"/>
          <w:lang w:val="lt-LT" w:eastAsia="en-US"/>
        </w:rPr>
        <w:t xml:space="preserve"> ir jį įgyvendinančiomis Taisyklėmis</w:t>
      </w:r>
      <w:r w:rsidR="00A17C71">
        <w:rPr>
          <w:rStyle w:val="Puslapioinaosnuoroda"/>
          <w:rFonts w:ascii="Trebuchet MS" w:hAnsi="Trebuchet MS"/>
          <w:bCs/>
          <w:szCs w:val="22"/>
          <w:lang w:val="lt-LT" w:eastAsia="en-US"/>
        </w:rPr>
        <w:footnoteReference w:id="4"/>
      </w:r>
      <w:r w:rsidR="00CD2BCF" w:rsidRPr="00CD2BCF">
        <w:rPr>
          <w:rFonts w:ascii="Trebuchet MS" w:hAnsi="Trebuchet MS"/>
          <w:bCs/>
          <w:szCs w:val="22"/>
          <w:lang w:val="lt-LT" w:eastAsia="en-US"/>
        </w:rPr>
        <w:t>.</w:t>
      </w:r>
      <w:r w:rsidR="009651C7" w:rsidRPr="00CD2BCF">
        <w:rPr>
          <w:rFonts w:ascii="Trebuchet MS" w:hAnsi="Trebuchet MS"/>
          <w:szCs w:val="22"/>
          <w:lang w:val="lt-LT" w:eastAsia="en-US"/>
        </w:rPr>
        <w:t xml:space="preserve"> </w:t>
      </w:r>
    </w:p>
    <w:p w14:paraId="2D6A8A20" w14:textId="77777777" w:rsidR="00582A3E" w:rsidRDefault="0070397A" w:rsidP="00C9122C">
      <w:pPr>
        <w:autoSpaceDE w:val="0"/>
        <w:autoSpaceDN w:val="0"/>
        <w:adjustRightInd w:val="0"/>
        <w:spacing w:after="0"/>
        <w:ind w:firstLine="720"/>
        <w:jc w:val="both"/>
        <w:rPr>
          <w:rFonts w:ascii="Trebuchet MS" w:hAnsi="Trebuchet MS"/>
          <w:szCs w:val="22"/>
          <w:lang w:val="lt-LT" w:eastAsia="en-US"/>
        </w:rPr>
      </w:pPr>
      <w:r w:rsidRPr="00F17ECC">
        <w:rPr>
          <w:rFonts w:ascii="Trebuchet MS" w:hAnsi="Trebuchet MS"/>
          <w:szCs w:val="22"/>
          <w:lang w:val="lt-LT" w:eastAsia="en-US"/>
        </w:rPr>
        <w:lastRenderedPageBreak/>
        <w:t>Taip pat gali būti naudojami ir vienerių metų palyginimų duomenys, kai siekiama įvertinti konkrečiu laikotarpiu įvykusių reikšmingų ekonominių aplinkybių poveikį kontroliuojamojo sandorio kainai.</w:t>
      </w:r>
      <w:r w:rsidR="00A46C97" w:rsidRPr="00F17ECC">
        <w:rPr>
          <w:rFonts w:ascii="Trebuchet MS" w:hAnsi="Trebuchet MS"/>
          <w:szCs w:val="22"/>
          <w:lang w:val="lt-LT" w:eastAsia="en-US"/>
        </w:rPr>
        <w:t xml:space="preserve"> </w:t>
      </w:r>
      <w:r w:rsidRPr="00F17ECC">
        <w:rPr>
          <w:rFonts w:ascii="Trebuchet MS" w:hAnsi="Trebuchet MS"/>
          <w:szCs w:val="22"/>
          <w:lang w:val="lt-LT" w:eastAsia="en-US"/>
        </w:rPr>
        <w:t>T</w:t>
      </w:r>
      <w:r w:rsidR="006C1E29">
        <w:rPr>
          <w:rFonts w:ascii="Trebuchet MS" w:hAnsi="Trebuchet MS"/>
          <w:szCs w:val="22"/>
          <w:lang w:val="lt-LT" w:eastAsia="en-US"/>
        </w:rPr>
        <w:t>uomet</w:t>
      </w:r>
      <w:r w:rsidRPr="00F17ECC">
        <w:rPr>
          <w:rFonts w:ascii="Trebuchet MS" w:hAnsi="Trebuchet MS"/>
          <w:szCs w:val="22"/>
          <w:lang w:val="lt-LT" w:eastAsia="en-US"/>
        </w:rPr>
        <w:t xml:space="preserve"> kontroliuojamojo sandorio vykdymo laikotarpis turėtų sutapti su palyginamųjų sandorių vykdymo laikotarpiu (tai aktualu, kai kontroliuojamojo sandorio kaina yra grindžiama </w:t>
      </w:r>
      <w:proofErr w:type="spellStart"/>
      <w:r w:rsidRPr="006C1E29">
        <w:rPr>
          <w:rFonts w:ascii="Trebuchet MS" w:hAnsi="Trebuchet MS"/>
          <w:i/>
          <w:szCs w:val="22"/>
          <w:lang w:val="lt-LT" w:eastAsia="en-US"/>
        </w:rPr>
        <w:t>ex</w:t>
      </w:r>
      <w:proofErr w:type="spellEnd"/>
      <w:r w:rsidRPr="006C1E29">
        <w:rPr>
          <w:rFonts w:ascii="Trebuchet MS" w:hAnsi="Trebuchet MS"/>
          <w:i/>
          <w:szCs w:val="22"/>
          <w:lang w:val="lt-LT" w:eastAsia="en-US"/>
        </w:rPr>
        <w:t xml:space="preserve"> </w:t>
      </w:r>
      <w:proofErr w:type="spellStart"/>
      <w:r w:rsidRPr="006C1E29">
        <w:rPr>
          <w:rFonts w:ascii="Trebuchet MS" w:hAnsi="Trebuchet MS"/>
          <w:i/>
          <w:szCs w:val="22"/>
          <w:lang w:val="lt-LT" w:eastAsia="en-US"/>
        </w:rPr>
        <w:t>post</w:t>
      </w:r>
      <w:proofErr w:type="spellEnd"/>
      <w:r w:rsidRPr="00F17ECC">
        <w:rPr>
          <w:rFonts w:ascii="Trebuchet MS" w:hAnsi="Trebuchet MS"/>
          <w:szCs w:val="22"/>
          <w:lang w:val="lt-LT" w:eastAsia="en-US"/>
        </w:rPr>
        <w:t xml:space="preserve"> būdu). Pavyzdžiui</w:t>
      </w:r>
      <w:r w:rsidR="00A46C97" w:rsidRPr="00F17ECC">
        <w:rPr>
          <w:rFonts w:ascii="Trebuchet MS" w:hAnsi="Trebuchet MS"/>
          <w:szCs w:val="22"/>
          <w:lang w:val="lt-LT" w:eastAsia="en-US"/>
        </w:rPr>
        <w:t xml:space="preserve">, </w:t>
      </w:r>
      <w:r w:rsidRPr="00F17ECC">
        <w:rPr>
          <w:rFonts w:ascii="Trebuchet MS" w:hAnsi="Trebuchet MS"/>
          <w:szCs w:val="22"/>
          <w:lang w:val="lt-LT" w:eastAsia="en-US"/>
        </w:rPr>
        <w:t>vertinant 2020 m. vykdytų kontroliuojamųjų sandorių kainą, kai vyko Covid-19 pandemija, jeigu dėl šios aplinkybės mokesčių mokėtojas faktiškai patyrė reikšmingą poveikį.</w:t>
      </w:r>
      <w:r w:rsidR="009651C7">
        <w:rPr>
          <w:rFonts w:ascii="Trebuchet MS" w:hAnsi="Trebuchet MS"/>
          <w:szCs w:val="22"/>
          <w:lang w:val="lt-LT" w:eastAsia="en-US"/>
        </w:rPr>
        <w:t xml:space="preserve"> </w:t>
      </w:r>
    </w:p>
    <w:p w14:paraId="2DD6AC15" w14:textId="53884276" w:rsidR="007453CD" w:rsidRPr="00F17ECC" w:rsidRDefault="00EA6DBF" w:rsidP="00C9122C">
      <w:pPr>
        <w:autoSpaceDE w:val="0"/>
        <w:autoSpaceDN w:val="0"/>
        <w:adjustRightInd w:val="0"/>
        <w:spacing w:after="0"/>
        <w:ind w:firstLine="720"/>
        <w:jc w:val="both"/>
        <w:rPr>
          <w:rFonts w:ascii="Trebuchet MS" w:hAnsi="Trebuchet MS"/>
          <w:szCs w:val="22"/>
          <w:lang w:val="lt-LT" w:eastAsia="en-US"/>
        </w:rPr>
      </w:pPr>
      <w:r>
        <w:rPr>
          <w:rFonts w:ascii="Trebuchet MS" w:hAnsi="Trebuchet MS"/>
          <w:szCs w:val="22"/>
          <w:lang w:val="lt-LT" w:eastAsia="en-US"/>
        </w:rPr>
        <w:t>Visais atvejais</w:t>
      </w:r>
      <w:r w:rsidRPr="00F17ECC">
        <w:rPr>
          <w:rFonts w:ascii="Trebuchet MS" w:hAnsi="Trebuchet MS"/>
          <w:szCs w:val="22"/>
          <w:lang w:val="lt-LT" w:eastAsia="en-US"/>
        </w:rPr>
        <w:t xml:space="preserve"> </w:t>
      </w:r>
      <w:r w:rsidR="00A46C97" w:rsidRPr="00F17ECC">
        <w:rPr>
          <w:rFonts w:ascii="Trebuchet MS" w:hAnsi="Trebuchet MS"/>
          <w:szCs w:val="22"/>
          <w:lang w:val="lt-LT" w:eastAsia="en-US"/>
        </w:rPr>
        <w:t>m</w:t>
      </w:r>
      <w:r w:rsidR="007453CD" w:rsidRPr="00F17ECC">
        <w:rPr>
          <w:rFonts w:ascii="Trebuchet MS" w:hAnsi="Trebuchet MS"/>
          <w:szCs w:val="22"/>
          <w:lang w:val="lt-LT" w:eastAsia="en-US"/>
        </w:rPr>
        <w:t>okesčių mokėtojas pasirinkdamas tam tikro laikotarpio duomenis,</w:t>
      </w:r>
      <w:r w:rsidR="00A17C71">
        <w:rPr>
          <w:rFonts w:ascii="Trebuchet MS" w:hAnsi="Trebuchet MS"/>
          <w:szCs w:val="22"/>
          <w:lang w:val="lt-LT" w:eastAsia="en-US"/>
        </w:rPr>
        <w:t xml:space="preserve"> </w:t>
      </w:r>
      <w:r w:rsidR="00A17C71" w:rsidRPr="00F17ECC">
        <w:rPr>
          <w:rFonts w:ascii="Trebuchet MS" w:hAnsi="Trebuchet MS"/>
          <w:lang w:val="lt-LT"/>
        </w:rPr>
        <w:t>kontroliuojamųjų sandorių</w:t>
      </w:r>
      <w:r w:rsidR="007453CD" w:rsidRPr="00F17ECC">
        <w:rPr>
          <w:rFonts w:ascii="Trebuchet MS" w:hAnsi="Trebuchet MS"/>
          <w:szCs w:val="22"/>
          <w:lang w:val="lt-LT" w:eastAsia="en-US"/>
        </w:rPr>
        <w:t xml:space="preserve"> kainodaros pagrindimo dokumentuose turi paaiškinti </w:t>
      </w:r>
      <w:r w:rsidR="003A7899" w:rsidRPr="00F17ECC">
        <w:rPr>
          <w:rFonts w:ascii="Trebuchet MS" w:hAnsi="Trebuchet MS"/>
          <w:szCs w:val="22"/>
          <w:lang w:val="lt-LT" w:eastAsia="en-US"/>
        </w:rPr>
        <w:t xml:space="preserve">ir pagrįsti </w:t>
      </w:r>
      <w:r w:rsidR="007453CD" w:rsidRPr="00F17ECC">
        <w:rPr>
          <w:rFonts w:ascii="Trebuchet MS" w:hAnsi="Trebuchet MS"/>
          <w:szCs w:val="22"/>
          <w:lang w:val="lt-LT" w:eastAsia="en-US"/>
        </w:rPr>
        <w:t>tokio pasirinkimo priežastis.</w:t>
      </w:r>
    </w:p>
    <w:p w14:paraId="1F946C7C"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p>
    <w:p w14:paraId="1C129622" w14:textId="1E7E2649" w:rsidR="007453CD" w:rsidRPr="00F17ECC" w:rsidRDefault="006A2B1F"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b/>
          <w:szCs w:val="22"/>
          <w:lang w:val="lt-LT"/>
        </w:rPr>
        <w:t>6</w:t>
      </w:r>
      <w:r w:rsidR="007453CD" w:rsidRPr="00F17ECC">
        <w:rPr>
          <w:rFonts w:ascii="Trebuchet MS" w:hAnsi="Trebuchet MS"/>
          <w:szCs w:val="22"/>
          <w:lang w:val="lt-LT"/>
        </w:rPr>
        <w:t xml:space="preserve">. </w:t>
      </w:r>
      <w:r w:rsidR="007453CD" w:rsidRPr="00F17ECC">
        <w:rPr>
          <w:rFonts w:ascii="Trebuchet MS" w:hAnsi="Trebuchet MS"/>
          <w:b/>
          <w:szCs w:val="22"/>
          <w:lang w:val="lt-LT"/>
        </w:rPr>
        <w:t>Koki</w:t>
      </w:r>
      <w:r w:rsidRPr="00F17ECC">
        <w:rPr>
          <w:rFonts w:ascii="Trebuchet MS" w:hAnsi="Trebuchet MS"/>
          <w:b/>
          <w:szCs w:val="22"/>
          <w:lang w:val="lt-LT"/>
        </w:rPr>
        <w:t xml:space="preserve">o mokestinio </w:t>
      </w:r>
      <w:r w:rsidR="0038684D" w:rsidRPr="00F17ECC">
        <w:rPr>
          <w:rFonts w:ascii="Trebuchet MS" w:hAnsi="Trebuchet MS"/>
          <w:b/>
          <w:szCs w:val="22"/>
          <w:lang w:val="lt-LT"/>
        </w:rPr>
        <w:t>laikotarpio</w:t>
      </w:r>
      <w:r w:rsidR="007453CD" w:rsidRPr="00F17ECC">
        <w:rPr>
          <w:rFonts w:ascii="Trebuchet MS" w:hAnsi="Trebuchet MS"/>
          <w:b/>
          <w:szCs w:val="22"/>
          <w:lang w:val="lt-LT"/>
        </w:rPr>
        <w:t xml:space="preserve"> duomenys gali būti naudojami ištiestosios rankos intervalui sudaryti</w:t>
      </w:r>
      <w:r w:rsidR="007453CD" w:rsidRPr="00EB66C2">
        <w:rPr>
          <w:rFonts w:ascii="Trebuchet MS" w:hAnsi="Trebuchet MS"/>
          <w:b/>
          <w:szCs w:val="22"/>
          <w:lang w:val="lt-LT"/>
        </w:rPr>
        <w:t>?</w:t>
      </w:r>
    </w:p>
    <w:p w14:paraId="10165BF7" w14:textId="3624F9DE"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Bendroji taisyklė nustatant</w:t>
      </w:r>
      <w:r w:rsidR="004D4A2F">
        <w:rPr>
          <w:rFonts w:ascii="Trebuchet MS" w:hAnsi="Trebuchet MS"/>
          <w:szCs w:val="22"/>
          <w:lang w:val="lt-LT"/>
        </w:rPr>
        <w:t xml:space="preserve"> </w:t>
      </w:r>
      <w:r w:rsidRPr="00F17ECC">
        <w:rPr>
          <w:rFonts w:ascii="Trebuchet MS" w:hAnsi="Trebuchet MS"/>
          <w:szCs w:val="22"/>
          <w:lang w:val="lt-LT"/>
        </w:rPr>
        <w:t>/</w:t>
      </w:r>
      <w:r w:rsidR="004D4A2F">
        <w:rPr>
          <w:rFonts w:ascii="Trebuchet MS" w:hAnsi="Trebuchet MS"/>
          <w:szCs w:val="22"/>
          <w:lang w:val="lt-LT"/>
        </w:rPr>
        <w:t xml:space="preserve"> </w:t>
      </w:r>
      <w:r w:rsidRPr="00F17ECC">
        <w:rPr>
          <w:rFonts w:ascii="Trebuchet MS" w:hAnsi="Trebuchet MS"/>
          <w:szCs w:val="22"/>
          <w:lang w:val="lt-LT"/>
        </w:rPr>
        <w:t>grindžiant kontroliuojamojo sandorio kainą yra informacijos, kuri yra prieinama tokio sandorio kainos nustatymo</w:t>
      </w:r>
      <w:r w:rsidR="004D4A2F">
        <w:rPr>
          <w:rFonts w:ascii="Trebuchet MS" w:hAnsi="Trebuchet MS"/>
          <w:szCs w:val="22"/>
          <w:lang w:val="lt-LT"/>
        </w:rPr>
        <w:t xml:space="preserve"> </w:t>
      </w:r>
      <w:r w:rsidRPr="00F17ECC">
        <w:rPr>
          <w:rFonts w:ascii="Trebuchet MS" w:hAnsi="Trebuchet MS"/>
          <w:szCs w:val="22"/>
          <w:lang w:val="lt-LT"/>
        </w:rPr>
        <w:t>/</w:t>
      </w:r>
      <w:r w:rsidR="004D4A2F">
        <w:rPr>
          <w:rFonts w:ascii="Trebuchet MS" w:hAnsi="Trebuchet MS"/>
          <w:szCs w:val="22"/>
          <w:lang w:val="lt-LT"/>
        </w:rPr>
        <w:t xml:space="preserve"> </w:t>
      </w:r>
      <w:r w:rsidRPr="00F17ECC">
        <w:rPr>
          <w:rFonts w:ascii="Trebuchet MS" w:hAnsi="Trebuchet MS"/>
          <w:szCs w:val="22"/>
          <w:lang w:val="lt-LT"/>
        </w:rPr>
        <w:t>pagrindimo metu, naudojim</w:t>
      </w:r>
      <w:r w:rsidR="00BA7CFF">
        <w:rPr>
          <w:rFonts w:ascii="Trebuchet MS" w:hAnsi="Trebuchet MS"/>
          <w:szCs w:val="22"/>
          <w:lang w:val="lt-LT"/>
        </w:rPr>
        <w:t>as</w:t>
      </w:r>
      <w:r w:rsidRPr="00F17ECC">
        <w:rPr>
          <w:rFonts w:ascii="Trebuchet MS" w:hAnsi="Trebuchet MS"/>
          <w:szCs w:val="22"/>
          <w:lang w:val="lt-LT"/>
        </w:rPr>
        <w:t xml:space="preserve"> (išskyrus sandorių, susijusių su sunkiai nustatomos vertės nematerialiuoju turtu</w:t>
      </w:r>
      <w:r w:rsidR="004D4A2F">
        <w:rPr>
          <w:rFonts w:ascii="Trebuchet MS" w:hAnsi="Trebuchet MS"/>
          <w:szCs w:val="22"/>
          <w:lang w:val="lt-LT"/>
        </w:rPr>
        <w:t>,</w:t>
      </w:r>
      <w:r w:rsidRPr="00F17ECC">
        <w:rPr>
          <w:rFonts w:ascii="Trebuchet MS" w:hAnsi="Trebuchet MS"/>
          <w:szCs w:val="22"/>
          <w:lang w:val="lt-LT"/>
        </w:rPr>
        <w:t xml:space="preserve"> atvejus).</w:t>
      </w:r>
    </w:p>
    <w:p w14:paraId="44D2BC64" w14:textId="3A3C2323"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Patikimiausia informacija IRP atitinkančiai kainai nustatyti yra informacija, esanti kontroliuojamojo sandorio vykdymo metu, kadangi tiksliausiai atspindi tuo pačiu metu esantį ekonominių santykių kontekstą ir jo įtaką. Praktikoje visgi tokios informacijos gavimo laikotarpis gali išsiskirti priklausomai nuo to, kada yra atliekamas kainų nustatymas</w:t>
      </w:r>
      <w:r w:rsidR="004D4A2F">
        <w:rPr>
          <w:rFonts w:ascii="Trebuchet MS" w:hAnsi="Trebuchet MS"/>
          <w:szCs w:val="22"/>
          <w:lang w:val="lt-LT"/>
        </w:rPr>
        <w:t xml:space="preserve"> </w:t>
      </w:r>
      <w:r w:rsidRPr="00F17ECC">
        <w:rPr>
          <w:rFonts w:ascii="Trebuchet MS" w:hAnsi="Trebuchet MS"/>
          <w:szCs w:val="22"/>
          <w:lang w:val="lt-LT"/>
        </w:rPr>
        <w:t>/</w:t>
      </w:r>
      <w:r w:rsidR="004D4A2F">
        <w:rPr>
          <w:rFonts w:ascii="Trebuchet MS" w:hAnsi="Trebuchet MS"/>
          <w:szCs w:val="22"/>
          <w:lang w:val="lt-LT"/>
        </w:rPr>
        <w:t xml:space="preserve"> </w:t>
      </w:r>
      <w:r w:rsidRPr="00F17ECC">
        <w:rPr>
          <w:rFonts w:ascii="Trebuchet MS" w:hAnsi="Trebuchet MS"/>
          <w:szCs w:val="22"/>
          <w:lang w:val="lt-LT"/>
        </w:rPr>
        <w:t xml:space="preserve">pagrindimas – ar </w:t>
      </w:r>
      <w:proofErr w:type="spellStart"/>
      <w:r w:rsidRPr="00F17ECC">
        <w:rPr>
          <w:rFonts w:ascii="Trebuchet MS" w:hAnsi="Trebuchet MS"/>
          <w:i/>
          <w:szCs w:val="22"/>
          <w:lang w:val="lt-LT"/>
        </w:rPr>
        <w:t>ex</w:t>
      </w:r>
      <w:proofErr w:type="spellEnd"/>
      <w:r w:rsidRPr="00F17ECC">
        <w:rPr>
          <w:rFonts w:ascii="Trebuchet MS" w:hAnsi="Trebuchet MS"/>
          <w:i/>
          <w:szCs w:val="22"/>
          <w:lang w:val="lt-LT"/>
        </w:rPr>
        <w:t xml:space="preserve"> ante</w:t>
      </w:r>
      <w:r w:rsidRPr="00F17ECC">
        <w:rPr>
          <w:rFonts w:ascii="Trebuchet MS" w:hAnsi="Trebuchet MS"/>
          <w:szCs w:val="22"/>
          <w:lang w:val="lt-LT"/>
        </w:rPr>
        <w:t xml:space="preserve"> būdu (t. y. iš anksto nustatant kainą dar nepasibaigus sandoriui) ar </w:t>
      </w:r>
      <w:proofErr w:type="spellStart"/>
      <w:r w:rsidRPr="00F17ECC">
        <w:rPr>
          <w:rFonts w:ascii="Trebuchet MS" w:hAnsi="Trebuchet MS"/>
          <w:i/>
          <w:szCs w:val="22"/>
          <w:lang w:val="lt-LT"/>
        </w:rPr>
        <w:t>ex</w:t>
      </w:r>
      <w:proofErr w:type="spellEnd"/>
      <w:r w:rsidRPr="00F17ECC">
        <w:rPr>
          <w:rFonts w:ascii="Trebuchet MS" w:hAnsi="Trebuchet MS"/>
          <w:i/>
          <w:szCs w:val="22"/>
          <w:lang w:val="lt-LT"/>
        </w:rPr>
        <w:t xml:space="preserve"> </w:t>
      </w:r>
      <w:proofErr w:type="spellStart"/>
      <w:r w:rsidRPr="00F17ECC">
        <w:rPr>
          <w:rFonts w:ascii="Trebuchet MS" w:hAnsi="Trebuchet MS"/>
          <w:i/>
          <w:szCs w:val="22"/>
          <w:lang w:val="lt-LT"/>
        </w:rPr>
        <w:t>post</w:t>
      </w:r>
      <w:proofErr w:type="spellEnd"/>
      <w:r w:rsidRPr="00F17ECC">
        <w:rPr>
          <w:rFonts w:ascii="Trebuchet MS" w:hAnsi="Trebuchet MS"/>
          <w:szCs w:val="22"/>
          <w:lang w:val="lt-LT"/>
        </w:rPr>
        <w:t xml:space="preserve"> – kai grindžiama jau įvykusio sandorio kainos atitiktis IRP.</w:t>
      </w:r>
    </w:p>
    <w:p w14:paraId="639221DE" w14:textId="5055DF6D"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Reikalavimo į palyginamąją analizę, atliekamą taikant kitus nei palyginamosios nepriklausomos kainos kainodaros metodas, įtraukti ir kontroliuojamojo sandorio vykdymo laikotarpį (einamąjį ataskaitinį laikotarpį), rekomenduotina laikytis visais atvejais, kai kainodaros pagrindimas yra rengiamas </w:t>
      </w:r>
      <w:proofErr w:type="spellStart"/>
      <w:r w:rsidRPr="00F17ECC">
        <w:rPr>
          <w:rFonts w:ascii="Trebuchet MS" w:hAnsi="Trebuchet MS"/>
          <w:i/>
          <w:szCs w:val="22"/>
          <w:lang w:val="lt-LT"/>
        </w:rPr>
        <w:t>ex</w:t>
      </w:r>
      <w:proofErr w:type="spellEnd"/>
      <w:r w:rsidRPr="00F17ECC">
        <w:rPr>
          <w:rFonts w:ascii="Trebuchet MS" w:hAnsi="Trebuchet MS"/>
          <w:i/>
          <w:szCs w:val="22"/>
          <w:lang w:val="lt-LT"/>
        </w:rPr>
        <w:t xml:space="preserve"> </w:t>
      </w:r>
      <w:proofErr w:type="spellStart"/>
      <w:r w:rsidRPr="00F17ECC">
        <w:rPr>
          <w:rFonts w:ascii="Trebuchet MS" w:hAnsi="Trebuchet MS"/>
          <w:i/>
          <w:szCs w:val="22"/>
          <w:lang w:val="lt-LT"/>
        </w:rPr>
        <w:t>post</w:t>
      </w:r>
      <w:proofErr w:type="spellEnd"/>
      <w:r w:rsidRPr="00F17ECC">
        <w:rPr>
          <w:rFonts w:ascii="Trebuchet MS" w:hAnsi="Trebuchet MS"/>
          <w:szCs w:val="22"/>
          <w:lang w:val="lt-LT"/>
        </w:rPr>
        <w:t xml:space="preserve"> būdu. Kainodaros taisyklių 92 p. nustato atvejus, kada yra privaloma vertinti ir kontroliuojamojo sandorio vykdymo laikotarpį, t. y. kai mokesčių mokėtojas pagal Kainodaros taisyklių V skyriaus reikalavimus laiku neparengia sandorių kainodaros dokumentacijos už atitinkamą laikotarpį, ir mokesčių administratorius pareikalauja įvykdyti tokį reikalavimą retrospektyviai</w:t>
      </w:r>
      <w:r w:rsidR="00E66256" w:rsidRPr="00F17ECC">
        <w:rPr>
          <w:rFonts w:ascii="Trebuchet MS" w:hAnsi="Trebuchet MS"/>
          <w:szCs w:val="22"/>
          <w:lang w:val="lt-LT"/>
        </w:rPr>
        <w:t xml:space="preserve">. </w:t>
      </w:r>
      <w:r w:rsidRPr="00F17ECC">
        <w:rPr>
          <w:rFonts w:ascii="Trebuchet MS" w:hAnsi="Trebuchet MS"/>
          <w:szCs w:val="22"/>
          <w:lang w:val="lt-LT"/>
        </w:rPr>
        <w:t xml:space="preserve"> </w:t>
      </w:r>
    </w:p>
    <w:p w14:paraId="782A1DCF" w14:textId="2F3B9A15"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Jeigu kontroliuojamojo sandorio kainos nustatomos </w:t>
      </w:r>
      <w:proofErr w:type="spellStart"/>
      <w:r w:rsidRPr="00F17ECC">
        <w:rPr>
          <w:rFonts w:ascii="Trebuchet MS" w:hAnsi="Trebuchet MS"/>
          <w:i/>
          <w:szCs w:val="22"/>
          <w:lang w:val="lt-LT"/>
        </w:rPr>
        <w:t>ex</w:t>
      </w:r>
      <w:proofErr w:type="spellEnd"/>
      <w:r w:rsidRPr="00F17ECC">
        <w:rPr>
          <w:rFonts w:ascii="Trebuchet MS" w:hAnsi="Trebuchet MS"/>
          <w:i/>
          <w:szCs w:val="22"/>
          <w:lang w:val="lt-LT"/>
        </w:rPr>
        <w:t xml:space="preserve"> ante</w:t>
      </w:r>
      <w:r w:rsidRPr="00F17ECC">
        <w:rPr>
          <w:rFonts w:ascii="Trebuchet MS" w:hAnsi="Trebuchet MS"/>
          <w:szCs w:val="22"/>
          <w:lang w:val="lt-LT"/>
        </w:rPr>
        <w:t xml:space="preserve"> būdu, tuomet galioja reikalavimas naudoti tik tokią informaciją</w:t>
      </w:r>
      <w:r w:rsidR="00E66256" w:rsidRPr="00F17ECC">
        <w:rPr>
          <w:rFonts w:ascii="Trebuchet MS" w:hAnsi="Trebuchet MS"/>
          <w:szCs w:val="22"/>
          <w:lang w:val="lt-LT"/>
        </w:rPr>
        <w:t>,</w:t>
      </w:r>
      <w:r w:rsidRPr="00F17ECC">
        <w:rPr>
          <w:rFonts w:ascii="Trebuchet MS" w:hAnsi="Trebuchet MS"/>
          <w:szCs w:val="22"/>
          <w:lang w:val="lt-LT"/>
        </w:rPr>
        <w:t xml:space="preserve"> kuri yra prieinama kainos nustatymo metu. </w:t>
      </w:r>
    </w:p>
    <w:p w14:paraId="126B256A" w14:textId="123355A7" w:rsidR="005A5127" w:rsidRDefault="007453CD" w:rsidP="005A5127">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Pavyzdžiui, jeigu yra grindžiama 2024 m. kontroliuojamojo sandorio kaina, gali būti taikomi 2022-2024 m. palyginimų rodikliai, jeigu 2024 m. duomenys yra prie</w:t>
      </w:r>
      <w:r w:rsidR="007B47B5" w:rsidRPr="00F17ECC">
        <w:rPr>
          <w:rFonts w:ascii="Trebuchet MS" w:hAnsi="Trebuchet MS"/>
          <w:szCs w:val="22"/>
          <w:lang w:val="lt-LT"/>
        </w:rPr>
        <w:t>i</w:t>
      </w:r>
      <w:r w:rsidRPr="00F17ECC">
        <w:rPr>
          <w:rFonts w:ascii="Trebuchet MS" w:hAnsi="Trebuchet MS"/>
          <w:szCs w:val="22"/>
          <w:lang w:val="lt-LT"/>
        </w:rPr>
        <w:t>nami atliekant palyginimų paiešką, arba ankstesnių laikotarpių duomenys (pvz., 2021-2023 m. ar dar ankstesnių laikotarpių), jeigu palyginimų paieško</w:t>
      </w:r>
      <w:r w:rsidR="0061110F" w:rsidRPr="00F17ECC">
        <w:rPr>
          <w:rFonts w:ascii="Trebuchet MS" w:hAnsi="Trebuchet MS"/>
          <w:szCs w:val="22"/>
          <w:lang w:val="lt-LT"/>
        </w:rPr>
        <w:t>s</w:t>
      </w:r>
      <w:r w:rsidRPr="00F17ECC">
        <w:rPr>
          <w:rFonts w:ascii="Trebuchet MS" w:hAnsi="Trebuchet MS"/>
          <w:szCs w:val="22"/>
          <w:lang w:val="lt-LT"/>
        </w:rPr>
        <w:t xml:space="preserve"> atlikimo metu būtent to laikotarpio duomenys buvo prieinami.</w:t>
      </w:r>
    </w:p>
    <w:p w14:paraId="5F308720" w14:textId="77777777" w:rsidR="005A5127" w:rsidRPr="00F17ECC" w:rsidRDefault="005A5127" w:rsidP="00C9122C">
      <w:pPr>
        <w:autoSpaceDE w:val="0"/>
        <w:autoSpaceDN w:val="0"/>
        <w:adjustRightInd w:val="0"/>
        <w:spacing w:after="0"/>
        <w:ind w:firstLine="720"/>
        <w:jc w:val="both"/>
        <w:rPr>
          <w:rFonts w:ascii="Trebuchet MS" w:hAnsi="Trebuchet MS"/>
          <w:szCs w:val="22"/>
          <w:lang w:val="lt-LT"/>
        </w:rPr>
      </w:pPr>
    </w:p>
    <w:p w14:paraId="2D7B0045" w14:textId="1633044A" w:rsidR="00E66256" w:rsidRPr="00F17ECC" w:rsidRDefault="00E66256" w:rsidP="00C9122C">
      <w:pPr>
        <w:autoSpaceDE w:val="0"/>
        <w:autoSpaceDN w:val="0"/>
        <w:adjustRightInd w:val="0"/>
        <w:spacing w:after="0"/>
        <w:ind w:firstLine="720"/>
        <w:jc w:val="both"/>
        <w:rPr>
          <w:rFonts w:ascii="Trebuchet MS" w:hAnsi="Trebuchet MS"/>
          <w:b/>
          <w:szCs w:val="22"/>
          <w:lang w:val="lt-LT"/>
        </w:rPr>
      </w:pPr>
      <w:r w:rsidRPr="00F17ECC">
        <w:rPr>
          <w:rFonts w:ascii="Trebuchet MS" w:hAnsi="Trebuchet MS"/>
          <w:b/>
          <w:szCs w:val="22"/>
          <w:lang w:val="lt-LT"/>
        </w:rPr>
        <w:t>7. Ar ištiestosios rankos intervalui sudaryti gali būti naudojami mokestinių laikotarpių, einančių po kontroliuojamojo sandorio vykdymo laikotarpio, duomenys?</w:t>
      </w:r>
    </w:p>
    <w:p w14:paraId="12F93DB5" w14:textId="08229EC2" w:rsidR="007453CD" w:rsidRPr="00F17ECC" w:rsidRDefault="00E66256"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Ne. </w:t>
      </w:r>
      <w:r w:rsidR="007453CD" w:rsidRPr="00F17ECC">
        <w:rPr>
          <w:rFonts w:ascii="Trebuchet MS" w:hAnsi="Trebuchet MS"/>
          <w:szCs w:val="22"/>
          <w:lang w:val="lt-LT"/>
        </w:rPr>
        <w:t>Nors Kainodaros taisyklių 15 p. nu</w:t>
      </w:r>
      <w:r w:rsidRPr="00F17ECC">
        <w:rPr>
          <w:rFonts w:ascii="Trebuchet MS" w:hAnsi="Trebuchet MS"/>
          <w:szCs w:val="22"/>
          <w:lang w:val="lt-LT"/>
        </w:rPr>
        <w:t>mato</w:t>
      </w:r>
      <w:r w:rsidR="007453CD" w:rsidRPr="00F17ECC">
        <w:rPr>
          <w:rFonts w:ascii="Trebuchet MS" w:hAnsi="Trebuchet MS"/>
          <w:szCs w:val="22"/>
          <w:lang w:val="lt-LT"/>
        </w:rPr>
        <w:t xml:space="preserve"> galimybę naudoti ir metų, einančių po metų, kuriais vyko kontroliuojamasis sandoris, duomenis, ši nuostata negali būti suprantama, kaip suteikianti galimyb</w:t>
      </w:r>
      <w:r w:rsidR="003A7899" w:rsidRPr="00F17ECC">
        <w:rPr>
          <w:rFonts w:ascii="Trebuchet MS" w:hAnsi="Trebuchet MS"/>
          <w:szCs w:val="22"/>
          <w:lang w:val="lt-LT"/>
        </w:rPr>
        <w:t>ę</w:t>
      </w:r>
      <w:r w:rsidR="007453CD" w:rsidRPr="00F17ECC">
        <w:rPr>
          <w:rFonts w:ascii="Trebuchet MS" w:hAnsi="Trebuchet MS"/>
          <w:szCs w:val="22"/>
          <w:lang w:val="lt-LT"/>
        </w:rPr>
        <w:t xml:space="preserve"> nustatyti kontroliuojamojo sandorio kainą, naudojant vėl</w:t>
      </w:r>
      <w:r w:rsidR="000B5031" w:rsidRPr="00F17ECC">
        <w:rPr>
          <w:rFonts w:ascii="Trebuchet MS" w:hAnsi="Trebuchet MS"/>
          <w:szCs w:val="22"/>
          <w:lang w:val="lt-LT"/>
        </w:rPr>
        <w:t>e</w:t>
      </w:r>
      <w:r w:rsidR="007453CD" w:rsidRPr="00F17ECC">
        <w:rPr>
          <w:rFonts w:ascii="Trebuchet MS" w:hAnsi="Trebuchet MS"/>
          <w:szCs w:val="22"/>
          <w:lang w:val="lt-LT"/>
        </w:rPr>
        <w:t>snių laikotarpių</w:t>
      </w:r>
      <w:r w:rsidRPr="00F17ECC">
        <w:rPr>
          <w:rFonts w:ascii="Trebuchet MS" w:hAnsi="Trebuchet MS"/>
          <w:szCs w:val="22"/>
          <w:lang w:val="lt-LT"/>
        </w:rPr>
        <w:t>,</w:t>
      </w:r>
      <w:r w:rsidR="007453CD" w:rsidRPr="00F17ECC">
        <w:rPr>
          <w:rFonts w:ascii="Trebuchet MS" w:hAnsi="Trebuchet MS"/>
          <w:szCs w:val="22"/>
          <w:lang w:val="lt-LT"/>
        </w:rPr>
        <w:t xml:space="preserve"> </w:t>
      </w:r>
      <w:r w:rsidR="0061110F" w:rsidRPr="00F17ECC">
        <w:rPr>
          <w:rFonts w:ascii="Trebuchet MS" w:hAnsi="Trebuchet MS"/>
          <w:szCs w:val="22"/>
          <w:lang w:val="lt-LT"/>
        </w:rPr>
        <w:t>nei vyko kontroliuojamasis sandoris</w:t>
      </w:r>
      <w:r w:rsidRPr="00F17ECC">
        <w:rPr>
          <w:rFonts w:ascii="Trebuchet MS" w:hAnsi="Trebuchet MS"/>
          <w:szCs w:val="22"/>
          <w:lang w:val="lt-LT"/>
        </w:rPr>
        <w:t>,</w:t>
      </w:r>
      <w:r w:rsidR="0061110F" w:rsidRPr="00F17ECC">
        <w:rPr>
          <w:rFonts w:ascii="Trebuchet MS" w:hAnsi="Trebuchet MS"/>
          <w:szCs w:val="22"/>
          <w:lang w:val="lt-LT"/>
        </w:rPr>
        <w:t xml:space="preserve"> </w:t>
      </w:r>
      <w:r w:rsidR="007453CD" w:rsidRPr="00F17ECC">
        <w:rPr>
          <w:rFonts w:ascii="Trebuchet MS" w:hAnsi="Trebuchet MS"/>
          <w:szCs w:val="22"/>
          <w:lang w:val="lt-LT"/>
        </w:rPr>
        <w:t xml:space="preserve">duomenis. Pavyzdžiui, mokesčių mokėtojas vykdė tuos pačius sandorius su asocijuotu asmeniu 2023 m. ir 2024 m. ir parengė kontroliuojamųjų sandorių kainodaros dokumentaciją, kurioje grindė tiek 2023, tiek 2024 m. sandorių kainas. Abiejų metų kainų </w:t>
      </w:r>
      <w:r w:rsidR="006E4C2D">
        <w:rPr>
          <w:rFonts w:ascii="Trebuchet MS" w:hAnsi="Trebuchet MS"/>
          <w:szCs w:val="22"/>
          <w:lang w:val="lt-LT"/>
        </w:rPr>
        <w:t>pa</w:t>
      </w:r>
      <w:r w:rsidR="007453CD" w:rsidRPr="00F17ECC">
        <w:rPr>
          <w:rFonts w:ascii="Trebuchet MS" w:hAnsi="Trebuchet MS"/>
          <w:szCs w:val="22"/>
          <w:lang w:val="lt-LT"/>
        </w:rPr>
        <w:t>grindimui buvo taikoma ta pati palyginamoji analizė, paremta palyginamųjų įmonių rodiklių duomenimis už laikotarpius 2022-2024 m. Visgi 2023 m. mokesčių mokėtojas neturėjo objektyvių galimybių gauti 2024 m. informacijos, todėl šio laikotarpio duomenys negali būti naudojami grindžiant 2023 m. kontroliuojamojo sandorio kainas. Vertinamuoju atveju mokesčių mokėtojas turėjo dvi galimybes:</w:t>
      </w:r>
    </w:p>
    <w:p w14:paraId="7EC10332" w14:textId="43929CB4" w:rsidR="007453CD" w:rsidRPr="00F17ECC" w:rsidRDefault="00C50148" w:rsidP="00C9122C">
      <w:pPr>
        <w:pStyle w:val="Sraopastraipa"/>
        <w:numPr>
          <w:ilvl w:val="0"/>
          <w:numId w:val="1"/>
        </w:numPr>
        <w:autoSpaceDE w:val="0"/>
        <w:autoSpaceDN w:val="0"/>
        <w:adjustRightInd w:val="0"/>
        <w:spacing w:after="0"/>
        <w:jc w:val="both"/>
        <w:rPr>
          <w:rFonts w:ascii="Trebuchet MS" w:hAnsi="Trebuchet MS"/>
          <w:szCs w:val="22"/>
          <w:lang w:val="lt-LT"/>
        </w:rPr>
      </w:pPr>
      <w:r w:rsidRPr="00F17ECC">
        <w:rPr>
          <w:rFonts w:ascii="Trebuchet MS" w:hAnsi="Trebuchet MS"/>
          <w:szCs w:val="22"/>
          <w:lang w:val="lt-LT"/>
        </w:rPr>
        <w:lastRenderedPageBreak/>
        <w:t xml:space="preserve">1 galimybė: </w:t>
      </w:r>
      <w:r w:rsidR="007453CD" w:rsidRPr="00F17ECC">
        <w:rPr>
          <w:rFonts w:ascii="Trebuchet MS" w:hAnsi="Trebuchet MS"/>
          <w:szCs w:val="22"/>
          <w:lang w:val="lt-LT"/>
        </w:rPr>
        <w:t xml:space="preserve">apskaičiuoti atskirus ištiestosios rankos intervalus kiekvieniems iš vertinamųjų metų, t. y. 2023 m. </w:t>
      </w:r>
      <w:r w:rsidR="00340374">
        <w:rPr>
          <w:rFonts w:ascii="Trebuchet MS" w:hAnsi="Trebuchet MS"/>
          <w:szCs w:val="22"/>
          <w:lang w:val="lt-LT"/>
        </w:rPr>
        <w:t>naudoti</w:t>
      </w:r>
      <w:r w:rsidR="00340374" w:rsidRPr="00F17ECC">
        <w:rPr>
          <w:rFonts w:ascii="Trebuchet MS" w:hAnsi="Trebuchet MS"/>
          <w:szCs w:val="22"/>
          <w:lang w:val="lt-LT"/>
        </w:rPr>
        <w:t xml:space="preserve"> </w:t>
      </w:r>
      <w:r w:rsidR="007453CD" w:rsidRPr="00F17ECC">
        <w:rPr>
          <w:rFonts w:ascii="Trebuchet MS" w:hAnsi="Trebuchet MS"/>
          <w:szCs w:val="22"/>
          <w:lang w:val="lt-LT"/>
        </w:rPr>
        <w:t>2021-2023 m.</w:t>
      </w:r>
      <w:r w:rsidR="00465428" w:rsidRPr="00F17ECC">
        <w:rPr>
          <w:rFonts w:ascii="Trebuchet MS" w:hAnsi="Trebuchet MS"/>
          <w:szCs w:val="22"/>
          <w:lang w:val="lt-LT"/>
        </w:rPr>
        <w:t xml:space="preserve"> </w:t>
      </w:r>
      <w:r w:rsidR="00ED2205" w:rsidRPr="00F17ECC">
        <w:rPr>
          <w:rFonts w:ascii="Trebuchet MS" w:hAnsi="Trebuchet MS"/>
          <w:szCs w:val="22"/>
          <w:lang w:val="lt-LT"/>
        </w:rPr>
        <w:t>duomenis</w:t>
      </w:r>
      <w:r w:rsidR="007453CD" w:rsidRPr="00F17ECC">
        <w:rPr>
          <w:rFonts w:ascii="Trebuchet MS" w:hAnsi="Trebuchet MS"/>
          <w:szCs w:val="22"/>
          <w:lang w:val="lt-LT"/>
        </w:rPr>
        <w:t xml:space="preserve"> ir 2024 m.  -  2022-2024 m.</w:t>
      </w:r>
      <w:r w:rsidR="00AE5C3B" w:rsidRPr="00F17ECC">
        <w:rPr>
          <w:rFonts w:ascii="Trebuchet MS" w:hAnsi="Trebuchet MS"/>
          <w:szCs w:val="22"/>
          <w:lang w:val="lt-LT"/>
        </w:rPr>
        <w:t xml:space="preserve"> </w:t>
      </w:r>
      <w:r w:rsidR="00ED2205" w:rsidRPr="00F17ECC">
        <w:rPr>
          <w:rFonts w:ascii="Trebuchet MS" w:hAnsi="Trebuchet MS"/>
          <w:szCs w:val="22"/>
          <w:lang w:val="lt-LT"/>
        </w:rPr>
        <w:t>duomenis</w:t>
      </w:r>
      <w:r w:rsidR="007453CD" w:rsidRPr="00F17ECC">
        <w:rPr>
          <w:rFonts w:ascii="Trebuchet MS" w:hAnsi="Trebuchet MS"/>
          <w:szCs w:val="22"/>
          <w:lang w:val="lt-LT"/>
        </w:rPr>
        <w:t>;</w:t>
      </w:r>
    </w:p>
    <w:p w14:paraId="4DA4A015" w14:textId="79F00150" w:rsidR="007453CD" w:rsidRPr="00F17ECC" w:rsidRDefault="00C50148" w:rsidP="00C9122C">
      <w:pPr>
        <w:pStyle w:val="Sraopastraipa"/>
        <w:numPr>
          <w:ilvl w:val="0"/>
          <w:numId w:val="1"/>
        </w:numPr>
        <w:autoSpaceDE w:val="0"/>
        <w:autoSpaceDN w:val="0"/>
        <w:adjustRightInd w:val="0"/>
        <w:spacing w:after="0"/>
        <w:jc w:val="both"/>
        <w:rPr>
          <w:rFonts w:ascii="Trebuchet MS" w:hAnsi="Trebuchet MS"/>
          <w:szCs w:val="22"/>
          <w:lang w:val="lt-LT"/>
        </w:rPr>
      </w:pPr>
      <w:r w:rsidRPr="00F17ECC">
        <w:rPr>
          <w:rFonts w:ascii="Trebuchet MS" w:hAnsi="Trebuchet MS"/>
          <w:szCs w:val="22"/>
          <w:lang w:val="lt-LT"/>
        </w:rPr>
        <w:t xml:space="preserve">2 galimybė: </w:t>
      </w:r>
      <w:r w:rsidR="007453CD" w:rsidRPr="00F17ECC">
        <w:rPr>
          <w:rFonts w:ascii="Trebuchet MS" w:hAnsi="Trebuchet MS"/>
          <w:szCs w:val="22"/>
          <w:lang w:val="lt-LT"/>
        </w:rPr>
        <w:t>2021-2023 m. duomenų pagrindu apskaičiuotą ištiestosios rankos intervalą taikyti tiek 2023 m., tiek 2024 m., jeigu ekonominės aplinkybės rinkoje reikšmingai nekito</w:t>
      </w:r>
      <w:r w:rsidR="006E4C2D">
        <w:rPr>
          <w:rFonts w:ascii="Trebuchet MS" w:hAnsi="Trebuchet MS"/>
          <w:szCs w:val="22"/>
          <w:lang w:val="lt-LT"/>
        </w:rPr>
        <w:t xml:space="preserve"> laikotarpiu nuo 2021 iki 2024 m</w:t>
      </w:r>
      <w:r w:rsidR="007453CD" w:rsidRPr="00F17ECC">
        <w:rPr>
          <w:rFonts w:ascii="Trebuchet MS" w:hAnsi="Trebuchet MS"/>
          <w:szCs w:val="22"/>
          <w:lang w:val="lt-LT"/>
        </w:rPr>
        <w:t>.</w:t>
      </w:r>
    </w:p>
    <w:p w14:paraId="2ED11FC9" w14:textId="5669A017" w:rsidR="007453CD" w:rsidRDefault="007453CD" w:rsidP="00C9122C">
      <w:pPr>
        <w:autoSpaceDE w:val="0"/>
        <w:autoSpaceDN w:val="0"/>
        <w:adjustRightInd w:val="0"/>
        <w:spacing w:after="0"/>
        <w:ind w:firstLine="720"/>
        <w:jc w:val="both"/>
        <w:rPr>
          <w:rFonts w:ascii="Trebuchet MS" w:hAnsi="Trebuchet MS"/>
          <w:szCs w:val="22"/>
          <w:lang w:val="lt-LT"/>
        </w:rPr>
      </w:pPr>
    </w:p>
    <w:p w14:paraId="24FE60A5" w14:textId="77777777" w:rsidR="00C2751D" w:rsidRPr="005E3FF2" w:rsidRDefault="00C2751D" w:rsidP="00C2751D">
      <w:pPr>
        <w:autoSpaceDE w:val="0"/>
        <w:autoSpaceDN w:val="0"/>
        <w:adjustRightInd w:val="0"/>
        <w:spacing w:after="0"/>
        <w:ind w:firstLine="720"/>
        <w:jc w:val="both"/>
        <w:rPr>
          <w:rFonts w:ascii="Trebuchet MS" w:hAnsi="Trebuchet MS"/>
          <w:b/>
          <w:szCs w:val="22"/>
          <w:lang w:val="lt-LT"/>
        </w:rPr>
      </w:pPr>
      <w:r>
        <w:rPr>
          <w:rFonts w:ascii="Trebuchet MS" w:hAnsi="Trebuchet MS"/>
          <w:b/>
          <w:szCs w:val="22"/>
          <w:lang w:val="lt-LT"/>
        </w:rPr>
        <w:t>8</w:t>
      </w:r>
      <w:r w:rsidRPr="005E3FF2">
        <w:rPr>
          <w:rFonts w:ascii="Trebuchet MS" w:hAnsi="Trebuchet MS"/>
          <w:b/>
          <w:szCs w:val="22"/>
          <w:lang w:val="lt-LT"/>
        </w:rPr>
        <w:t>. Jeigu mokesčių mokėtojo mokestinis laikotarpis nesutampa su kalendoriniais metais, kokių metų palyginamieji duomenys turi būti naudojami?</w:t>
      </w:r>
    </w:p>
    <w:p w14:paraId="4DCE574F" w14:textId="3CC58063" w:rsidR="00C2751D" w:rsidRDefault="00C2751D" w:rsidP="00C2751D">
      <w:pPr>
        <w:autoSpaceDE w:val="0"/>
        <w:autoSpaceDN w:val="0"/>
        <w:adjustRightInd w:val="0"/>
        <w:spacing w:after="0"/>
        <w:ind w:firstLine="720"/>
        <w:jc w:val="both"/>
        <w:rPr>
          <w:rFonts w:ascii="Trebuchet MS" w:hAnsi="Trebuchet MS"/>
          <w:szCs w:val="22"/>
          <w:lang w:val="lt-LT"/>
        </w:rPr>
      </w:pPr>
      <w:r>
        <w:rPr>
          <w:rFonts w:ascii="Trebuchet MS" w:hAnsi="Trebuchet MS"/>
          <w:szCs w:val="22"/>
          <w:lang w:val="lt-LT"/>
        </w:rPr>
        <w:t xml:space="preserve">Laikantis taisyklės, jog mokesčių mokėtojas negali nustatyti </w:t>
      </w:r>
      <w:r w:rsidRPr="00F17ECC">
        <w:rPr>
          <w:rFonts w:ascii="Trebuchet MS" w:hAnsi="Trebuchet MS"/>
          <w:szCs w:val="22"/>
          <w:lang w:val="lt-LT"/>
        </w:rPr>
        <w:t>kontroliuojamojo sandorio kain</w:t>
      </w:r>
      <w:r>
        <w:rPr>
          <w:rFonts w:ascii="Trebuchet MS" w:hAnsi="Trebuchet MS"/>
          <w:szCs w:val="22"/>
          <w:lang w:val="lt-LT"/>
        </w:rPr>
        <w:t>os</w:t>
      </w:r>
      <w:r w:rsidRPr="00F17ECC">
        <w:rPr>
          <w:rFonts w:ascii="Trebuchet MS" w:hAnsi="Trebuchet MS"/>
          <w:szCs w:val="22"/>
          <w:lang w:val="lt-LT"/>
        </w:rPr>
        <w:t xml:space="preserve"> naudo</w:t>
      </w:r>
      <w:r>
        <w:rPr>
          <w:rFonts w:ascii="Trebuchet MS" w:hAnsi="Trebuchet MS"/>
          <w:szCs w:val="22"/>
          <w:lang w:val="lt-LT"/>
        </w:rPr>
        <w:t xml:space="preserve">damas </w:t>
      </w:r>
      <w:r w:rsidRPr="00F17ECC">
        <w:rPr>
          <w:rFonts w:ascii="Trebuchet MS" w:hAnsi="Trebuchet MS"/>
          <w:szCs w:val="22"/>
          <w:lang w:val="lt-LT"/>
        </w:rPr>
        <w:t>vėlesnių laikotarpių, nei vyko kontroliuojamasis sandoris, duomen</w:t>
      </w:r>
      <w:r>
        <w:rPr>
          <w:rFonts w:ascii="Trebuchet MS" w:hAnsi="Trebuchet MS"/>
          <w:szCs w:val="22"/>
          <w:lang w:val="lt-LT"/>
        </w:rPr>
        <w:t xml:space="preserve">ų, mokesčių mokėtojas, kurio mokestinis laikotarpis nesutampa su kalendoriniais metais, turėtų naudoti duomenis ne vėlesnius, nei jo mokestinio laikotarpio pabaiga. Taigi tai galėtų būti palyginamųjų įmonių, kurių mokestinis laikotarpis sutampa su mokesčių mokėtojo mokestiniu laikotarpiu, </w:t>
      </w:r>
      <w:r w:rsidR="003B1048">
        <w:rPr>
          <w:rFonts w:ascii="Trebuchet MS" w:hAnsi="Trebuchet MS"/>
          <w:szCs w:val="22"/>
          <w:lang w:val="lt-LT"/>
        </w:rPr>
        <w:t xml:space="preserve">duomenys iki </w:t>
      </w:r>
      <w:r>
        <w:rPr>
          <w:rFonts w:ascii="Trebuchet MS" w:hAnsi="Trebuchet MS"/>
          <w:szCs w:val="22"/>
          <w:lang w:val="lt-LT"/>
        </w:rPr>
        <w:t xml:space="preserve">vertinamojo laikotarpio </w:t>
      </w:r>
      <w:r w:rsidR="003B1048">
        <w:rPr>
          <w:rFonts w:ascii="Trebuchet MS" w:hAnsi="Trebuchet MS"/>
          <w:szCs w:val="22"/>
          <w:lang w:val="lt-LT"/>
        </w:rPr>
        <w:t>įskaitytinai</w:t>
      </w:r>
      <w:r>
        <w:rPr>
          <w:rFonts w:ascii="Trebuchet MS" w:hAnsi="Trebuchet MS"/>
          <w:szCs w:val="22"/>
          <w:lang w:val="lt-LT"/>
        </w:rPr>
        <w:t xml:space="preserve">, arba </w:t>
      </w:r>
      <w:r w:rsidR="003B1048">
        <w:rPr>
          <w:rFonts w:ascii="Trebuchet MS" w:hAnsi="Trebuchet MS"/>
          <w:szCs w:val="22"/>
          <w:lang w:val="lt-LT"/>
        </w:rPr>
        <w:t>palyginamųjų</w:t>
      </w:r>
      <w:r>
        <w:rPr>
          <w:rFonts w:ascii="Trebuchet MS" w:hAnsi="Trebuchet MS"/>
          <w:szCs w:val="22"/>
          <w:lang w:val="lt-LT"/>
        </w:rPr>
        <w:t xml:space="preserve"> įmonių </w:t>
      </w:r>
      <w:r w:rsidR="003B1048">
        <w:rPr>
          <w:rFonts w:ascii="Trebuchet MS" w:hAnsi="Trebuchet MS"/>
          <w:szCs w:val="22"/>
          <w:lang w:val="lt-LT"/>
        </w:rPr>
        <w:t xml:space="preserve">kitų </w:t>
      </w:r>
      <w:r>
        <w:rPr>
          <w:rFonts w:ascii="Trebuchet MS" w:hAnsi="Trebuchet MS"/>
          <w:szCs w:val="22"/>
          <w:lang w:val="lt-LT"/>
        </w:rPr>
        <w:t>mokestinių laikotarpių, kurie pasibaigia anksčiau nei paties mokesčių mokėtojo vertinamasis mokestinis laikotarpis, duomenys. Komercinės duomenų bazės neretai suteikia galimybę atliekant automatinę palyginimų paiešką, pasirinkti ne tik kalendorinio laikotarpio duomenis, bet taip pat ir kitą mokestinį laikotarpį turinčių įmonių duomenis.</w:t>
      </w:r>
    </w:p>
    <w:p w14:paraId="7FF84278" w14:textId="10E909DC" w:rsidR="00C2751D" w:rsidRDefault="00C2751D" w:rsidP="00C2751D">
      <w:pPr>
        <w:autoSpaceDE w:val="0"/>
        <w:autoSpaceDN w:val="0"/>
        <w:adjustRightInd w:val="0"/>
        <w:spacing w:after="0"/>
        <w:ind w:firstLine="720"/>
        <w:jc w:val="both"/>
        <w:rPr>
          <w:rFonts w:ascii="Trebuchet MS" w:hAnsi="Trebuchet MS"/>
          <w:szCs w:val="22"/>
          <w:lang w:val="lt-LT"/>
        </w:rPr>
      </w:pPr>
      <w:r w:rsidRPr="00101BE3">
        <w:rPr>
          <w:rFonts w:ascii="Trebuchet MS" w:hAnsi="Trebuchet MS"/>
          <w:i/>
          <w:szCs w:val="22"/>
          <w:lang w:val="lt-LT"/>
        </w:rPr>
        <w:t>Pavyzdžiui</w:t>
      </w:r>
      <w:r w:rsidRPr="00101BE3">
        <w:rPr>
          <w:rFonts w:ascii="Trebuchet MS" w:hAnsi="Trebuchet MS"/>
          <w:szCs w:val="22"/>
          <w:lang w:val="lt-LT"/>
        </w:rPr>
        <w:t xml:space="preserve">: mokesčių mokėtojo mokestinis laikotarpis yra nuo </w:t>
      </w:r>
      <w:r w:rsidR="003B1048" w:rsidRPr="00101BE3">
        <w:rPr>
          <w:rFonts w:ascii="Trebuchet MS" w:hAnsi="Trebuchet MS"/>
          <w:szCs w:val="22"/>
          <w:lang w:val="lt-LT"/>
        </w:rPr>
        <w:t>liepos</w:t>
      </w:r>
      <w:r w:rsidRPr="00101BE3">
        <w:rPr>
          <w:rFonts w:ascii="Trebuchet MS" w:hAnsi="Trebuchet MS"/>
          <w:szCs w:val="22"/>
          <w:lang w:val="lt-LT"/>
        </w:rPr>
        <w:t xml:space="preserve"> 1 d. iki kitų metų </w:t>
      </w:r>
      <w:r w:rsidR="00101BE3" w:rsidRPr="00101BE3">
        <w:rPr>
          <w:rFonts w:ascii="Trebuchet MS" w:hAnsi="Trebuchet MS"/>
          <w:szCs w:val="22"/>
          <w:lang w:val="lt-LT"/>
        </w:rPr>
        <w:t xml:space="preserve">birželio </w:t>
      </w:r>
      <w:r w:rsidRPr="00101BE3">
        <w:rPr>
          <w:rFonts w:ascii="Trebuchet MS" w:hAnsi="Trebuchet MS"/>
          <w:szCs w:val="22"/>
          <w:lang w:val="lt-LT"/>
        </w:rPr>
        <w:t>3</w:t>
      </w:r>
      <w:r w:rsidR="00101BE3" w:rsidRPr="00101BE3">
        <w:rPr>
          <w:rFonts w:ascii="Trebuchet MS" w:hAnsi="Trebuchet MS"/>
          <w:szCs w:val="22"/>
          <w:lang w:val="lt-LT"/>
        </w:rPr>
        <w:t>0</w:t>
      </w:r>
      <w:r w:rsidRPr="00101BE3">
        <w:rPr>
          <w:rFonts w:ascii="Trebuchet MS" w:hAnsi="Trebuchet MS"/>
          <w:szCs w:val="22"/>
          <w:lang w:val="lt-LT"/>
        </w:rPr>
        <w:t xml:space="preserve"> d. Norėdamas</w:t>
      </w:r>
      <w:r>
        <w:rPr>
          <w:rFonts w:ascii="Trebuchet MS" w:hAnsi="Trebuchet MS"/>
          <w:szCs w:val="22"/>
          <w:lang w:val="lt-LT"/>
        </w:rPr>
        <w:t xml:space="preserve"> pagrįsti mokestinio laikotarpio nuo 2024-07-01 iki 2025-06-30 vykdytų kontroliuojamųjų sandorių kainas, mokesčių mokėtojas, gali naudoti šiuos palyginimų duomenis: palyginamųjų įmonių, kurių mokestinis laikotarpis sutampa su kalendoriniais metais, 2021 – 2023 m. arba 2022 - 2024 m. duomenis</w:t>
      </w:r>
      <w:r w:rsidR="003B1048">
        <w:rPr>
          <w:rFonts w:ascii="Trebuchet MS" w:hAnsi="Trebuchet MS"/>
          <w:szCs w:val="22"/>
          <w:lang w:val="lt-LT"/>
        </w:rPr>
        <w:t xml:space="preserve"> (priklausomai nuo to, kada atliekama palyginimų paiešk</w:t>
      </w:r>
      <w:r w:rsidR="00452440">
        <w:rPr>
          <w:rFonts w:ascii="Trebuchet MS" w:hAnsi="Trebuchet MS"/>
          <w:szCs w:val="22"/>
          <w:lang w:val="lt-LT"/>
        </w:rPr>
        <w:t>a</w:t>
      </w:r>
      <w:r w:rsidR="003B1048">
        <w:rPr>
          <w:rFonts w:ascii="Trebuchet MS" w:hAnsi="Trebuchet MS"/>
          <w:szCs w:val="22"/>
          <w:lang w:val="lt-LT"/>
        </w:rPr>
        <w:t>)</w:t>
      </w:r>
      <w:r>
        <w:rPr>
          <w:rFonts w:ascii="Trebuchet MS" w:hAnsi="Trebuchet MS"/>
          <w:szCs w:val="22"/>
          <w:lang w:val="lt-LT"/>
        </w:rPr>
        <w:t xml:space="preserve">, o taip pat ir palyginamųjų įmonių, kurių mokestinis laikotarpis pasibaigia iki </w:t>
      </w:r>
      <w:r w:rsidR="003B1048">
        <w:rPr>
          <w:rFonts w:ascii="Trebuchet MS" w:hAnsi="Trebuchet MS"/>
          <w:szCs w:val="22"/>
          <w:lang w:val="lt-LT"/>
        </w:rPr>
        <w:t>birželio</w:t>
      </w:r>
      <w:r>
        <w:rPr>
          <w:rFonts w:ascii="Trebuchet MS" w:hAnsi="Trebuchet MS"/>
          <w:szCs w:val="22"/>
          <w:lang w:val="lt-LT"/>
        </w:rPr>
        <w:t xml:space="preserve"> 3</w:t>
      </w:r>
      <w:r w:rsidR="003B1048">
        <w:rPr>
          <w:rFonts w:ascii="Trebuchet MS" w:hAnsi="Trebuchet MS"/>
          <w:szCs w:val="22"/>
          <w:lang w:val="lt-LT"/>
        </w:rPr>
        <w:t>0</w:t>
      </w:r>
      <w:r>
        <w:rPr>
          <w:rFonts w:ascii="Trebuchet MS" w:hAnsi="Trebuchet MS"/>
          <w:szCs w:val="22"/>
          <w:lang w:val="lt-LT"/>
        </w:rPr>
        <w:t xml:space="preserve"> d. duomenis, t. y. iki 2024-06-30 arba iki 2025-06-30</w:t>
      </w:r>
      <w:r w:rsidR="003B1048">
        <w:rPr>
          <w:rFonts w:ascii="Trebuchet MS" w:hAnsi="Trebuchet MS"/>
          <w:szCs w:val="22"/>
          <w:lang w:val="lt-LT"/>
        </w:rPr>
        <w:t xml:space="preserve"> (priklausomai nuo to, kada atliekama palyginimų paiešką)</w:t>
      </w:r>
      <w:r>
        <w:rPr>
          <w:rFonts w:ascii="Trebuchet MS" w:hAnsi="Trebuchet MS"/>
          <w:szCs w:val="22"/>
          <w:lang w:val="lt-LT"/>
        </w:rPr>
        <w:t xml:space="preserve">. </w:t>
      </w:r>
    </w:p>
    <w:p w14:paraId="721AEE73" w14:textId="029C28F4" w:rsidR="00C2751D" w:rsidRDefault="00C2751D" w:rsidP="00C2751D">
      <w:pPr>
        <w:autoSpaceDE w:val="0"/>
        <w:autoSpaceDN w:val="0"/>
        <w:adjustRightInd w:val="0"/>
        <w:spacing w:after="0"/>
        <w:ind w:firstLine="720"/>
        <w:jc w:val="both"/>
        <w:rPr>
          <w:rFonts w:ascii="Trebuchet MS" w:hAnsi="Trebuchet MS"/>
          <w:szCs w:val="22"/>
          <w:lang w:val="lt-LT"/>
        </w:rPr>
      </w:pPr>
      <w:r>
        <w:rPr>
          <w:rFonts w:ascii="Trebuchet MS" w:hAnsi="Trebuchet MS"/>
          <w:szCs w:val="22"/>
          <w:lang w:val="lt-LT"/>
        </w:rPr>
        <w:t>Atliekant palyginimų paiešką, rekomenduojama pasirinkti tuos duomenis, kurie būtų artimiausi vertinamojo sandorio vykdymo laikotarpiui arba jį apimtų (priklausomai nuo paieškos vykdymo datos). Pavyzdžiui, jeigu mokesčių mokėtojo mokestinis laikotarpis prasidėtų žymiai vėliau nei liepos 1 d. (pvz., nuo rugsėjo 1 d.), tuomet rekomenduojama pasirinkti ir palyginimus</w:t>
      </w:r>
      <w:r w:rsidR="00A46E88">
        <w:rPr>
          <w:rFonts w:ascii="Trebuchet MS" w:hAnsi="Trebuchet MS"/>
          <w:szCs w:val="22"/>
          <w:lang w:val="lt-LT"/>
        </w:rPr>
        <w:t>,</w:t>
      </w:r>
      <w:r>
        <w:rPr>
          <w:rFonts w:ascii="Trebuchet MS" w:hAnsi="Trebuchet MS"/>
          <w:szCs w:val="22"/>
          <w:lang w:val="lt-LT"/>
        </w:rPr>
        <w:t xml:space="preserve"> kurių mokestinis laikotarpis yra kalendoriniai metai, kuriais prasidėjo mokesčių mokėtojo mokestinis laikotarpis, kurio kontroliuojamojo sandorio kainą siekiama nustatyti, jeigu tokie duomenys yra prieinami, t</w:t>
      </w:r>
      <w:r w:rsidR="00452440">
        <w:rPr>
          <w:rFonts w:ascii="Trebuchet MS" w:hAnsi="Trebuchet MS"/>
          <w:szCs w:val="22"/>
          <w:lang w:val="lt-LT"/>
        </w:rPr>
        <w:t xml:space="preserve">. </w:t>
      </w:r>
      <w:r>
        <w:rPr>
          <w:rFonts w:ascii="Trebuchet MS" w:hAnsi="Trebuchet MS"/>
          <w:szCs w:val="22"/>
          <w:lang w:val="lt-LT"/>
        </w:rPr>
        <w:t>y.: vertinant 2023-09-01 – 2024-08-31 mokestinio laikotarpio kontroliuojamuosius sandorius, be kitų laikotarpi</w:t>
      </w:r>
      <w:r w:rsidR="00A46E88">
        <w:rPr>
          <w:rFonts w:ascii="Trebuchet MS" w:hAnsi="Trebuchet MS"/>
          <w:szCs w:val="22"/>
          <w:lang w:val="lt-LT"/>
        </w:rPr>
        <w:t>ų</w:t>
      </w:r>
      <w:r>
        <w:rPr>
          <w:rFonts w:ascii="Trebuchet MS" w:hAnsi="Trebuchet MS"/>
          <w:szCs w:val="22"/>
          <w:lang w:val="lt-LT"/>
        </w:rPr>
        <w:t xml:space="preserve"> pasirinkti ir visų 2023 m. duomenis</w:t>
      </w:r>
      <w:r w:rsidR="00127B17">
        <w:rPr>
          <w:rFonts w:ascii="Trebuchet MS" w:hAnsi="Trebuchet MS"/>
          <w:szCs w:val="22"/>
          <w:lang w:val="lt-LT"/>
        </w:rPr>
        <w:t>, siekiant kuo mažesnio lyginamųjų duomenų laikotarpio atotrūkio</w:t>
      </w:r>
      <w:r>
        <w:rPr>
          <w:rFonts w:ascii="Trebuchet MS" w:hAnsi="Trebuchet MS"/>
          <w:szCs w:val="22"/>
          <w:lang w:val="lt-LT"/>
        </w:rPr>
        <w:t xml:space="preserve">. </w:t>
      </w:r>
    </w:p>
    <w:p w14:paraId="7C9DD8B4" w14:textId="77777777" w:rsidR="005A5127" w:rsidRPr="00F17ECC" w:rsidRDefault="005A5127" w:rsidP="00C9122C">
      <w:pPr>
        <w:autoSpaceDE w:val="0"/>
        <w:autoSpaceDN w:val="0"/>
        <w:adjustRightInd w:val="0"/>
        <w:spacing w:after="0"/>
        <w:ind w:firstLine="720"/>
        <w:jc w:val="both"/>
        <w:rPr>
          <w:rFonts w:ascii="Trebuchet MS" w:hAnsi="Trebuchet MS"/>
          <w:szCs w:val="22"/>
          <w:lang w:val="lt-LT"/>
        </w:rPr>
      </w:pPr>
    </w:p>
    <w:p w14:paraId="27BD3737" w14:textId="7CB97CB4" w:rsidR="007453CD" w:rsidRPr="00F17ECC" w:rsidRDefault="00C2751D" w:rsidP="00C9122C">
      <w:pPr>
        <w:autoSpaceDE w:val="0"/>
        <w:autoSpaceDN w:val="0"/>
        <w:adjustRightInd w:val="0"/>
        <w:spacing w:after="0"/>
        <w:ind w:firstLine="720"/>
        <w:jc w:val="both"/>
        <w:rPr>
          <w:rFonts w:ascii="Trebuchet MS" w:hAnsi="Trebuchet MS"/>
          <w:szCs w:val="22"/>
          <w:lang w:val="lt-LT"/>
        </w:rPr>
      </w:pPr>
      <w:r>
        <w:rPr>
          <w:rFonts w:ascii="Trebuchet MS" w:hAnsi="Trebuchet MS"/>
          <w:b/>
          <w:szCs w:val="22"/>
          <w:lang w:val="lt-LT"/>
        </w:rPr>
        <w:t>9</w:t>
      </w:r>
      <w:r w:rsidR="007453CD" w:rsidRPr="00F17ECC">
        <w:rPr>
          <w:rFonts w:ascii="Trebuchet MS" w:hAnsi="Trebuchet MS"/>
          <w:b/>
          <w:szCs w:val="22"/>
          <w:lang w:val="lt-LT"/>
        </w:rPr>
        <w:t>. Kokį periodą gali</w:t>
      </w:r>
      <w:r w:rsidR="00EA6DBF">
        <w:rPr>
          <w:rFonts w:ascii="Trebuchet MS" w:hAnsi="Trebuchet MS"/>
          <w:b/>
          <w:szCs w:val="22"/>
          <w:lang w:val="lt-LT"/>
        </w:rPr>
        <w:t xml:space="preserve">ma </w:t>
      </w:r>
      <w:r w:rsidR="007453CD" w:rsidRPr="00F17ECC">
        <w:rPr>
          <w:rFonts w:ascii="Trebuchet MS" w:hAnsi="Trebuchet MS"/>
          <w:b/>
          <w:szCs w:val="22"/>
          <w:lang w:val="lt-LT"/>
        </w:rPr>
        <w:t>taikyti tą pačią palyginimų paiešk</w:t>
      </w:r>
      <w:r w:rsidR="007453CD" w:rsidRPr="00F17ECC">
        <w:rPr>
          <w:rFonts w:ascii="Trebuchet MS" w:hAnsi="Trebuchet MS"/>
          <w:szCs w:val="22"/>
          <w:lang w:val="lt-LT"/>
        </w:rPr>
        <w:t>ą</w:t>
      </w:r>
      <w:r w:rsidR="007453CD" w:rsidRPr="00E01A61">
        <w:rPr>
          <w:rFonts w:ascii="Trebuchet MS" w:hAnsi="Trebuchet MS"/>
          <w:b/>
          <w:szCs w:val="22"/>
          <w:lang w:val="lt-LT"/>
        </w:rPr>
        <w:t>?</w:t>
      </w:r>
      <w:r w:rsidR="007453CD" w:rsidRPr="00F17ECC">
        <w:rPr>
          <w:rFonts w:ascii="Trebuchet MS" w:hAnsi="Trebuchet MS"/>
          <w:szCs w:val="22"/>
          <w:lang w:val="lt-LT"/>
        </w:rPr>
        <w:t xml:space="preserve">  </w:t>
      </w:r>
    </w:p>
    <w:p w14:paraId="20FC009D"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Vadovaujantis Kainodaros taisyklių 89 p., tą pačią palyginimų paiešką galima naudoti trejus metus, jeigu įsitikinama, kad:</w:t>
      </w:r>
    </w:p>
    <w:p w14:paraId="7EB05362"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sandorio šalių funkcinė analizė (vykdomos funkcijos, prisiimamos rizikos, naudojamas turtas kontroliuojamajame sandoryje) išliko tokia pati visu šiuo laikotarpiu;</w:t>
      </w:r>
    </w:p>
    <w:p w14:paraId="4D7BDA53"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anksčiau pasirinktas kainodaros metodas išliko tinkamiausiu kontroliuojamojo sandorio kainos atitikties IRP nustatymui;</w:t>
      </w:r>
    </w:p>
    <w:p w14:paraId="23738895" w14:textId="07F270B5"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 vėlesniais mokestiniais laikotarpiais neįvyko esminių pokyčių rinkoje (t. </w:t>
      </w:r>
      <w:r w:rsidR="00810620">
        <w:rPr>
          <w:rFonts w:ascii="Trebuchet MS" w:hAnsi="Trebuchet MS"/>
          <w:szCs w:val="22"/>
          <w:lang w:val="lt-LT"/>
        </w:rPr>
        <w:t>y</w:t>
      </w:r>
      <w:r w:rsidRPr="00F17ECC">
        <w:rPr>
          <w:rFonts w:ascii="Trebuchet MS" w:hAnsi="Trebuchet MS"/>
          <w:szCs w:val="22"/>
          <w:lang w:val="lt-LT"/>
        </w:rPr>
        <w:t xml:space="preserve">. ekonominės aplinkybės kontroliuojamojo sandorio vykdymo šalies ir palyginamųjų įmonių veikimo šalyse išliko panašios). </w:t>
      </w:r>
    </w:p>
    <w:p w14:paraId="4A40A78B" w14:textId="329BAD3A" w:rsidR="007A5DEE" w:rsidRPr="00F17ECC" w:rsidRDefault="007A5DEE"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Pavyzdžiui, 2021-2023 m. duomenų pagrindu apskaičiuotą ištiestosios rankos intervalą mokesčių mokėtojas gali taikyti tiek 2023 m., tiek 2024 m., tiek 2025 m., jeigu yra išpildytos šiame atsakyme minimos sąlygos.</w:t>
      </w:r>
    </w:p>
    <w:p w14:paraId="224B7B38"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p>
    <w:p w14:paraId="44C2EAEF" w14:textId="4B78D2BC" w:rsidR="007453CD" w:rsidRPr="00F17ECC" w:rsidRDefault="00412C3E" w:rsidP="00C9122C">
      <w:pPr>
        <w:autoSpaceDE w:val="0"/>
        <w:autoSpaceDN w:val="0"/>
        <w:adjustRightInd w:val="0"/>
        <w:spacing w:after="0"/>
        <w:ind w:firstLine="720"/>
        <w:jc w:val="both"/>
        <w:rPr>
          <w:rFonts w:ascii="Trebuchet MS" w:hAnsi="Trebuchet MS"/>
          <w:szCs w:val="22"/>
          <w:lang w:val="lt-LT"/>
        </w:rPr>
      </w:pPr>
      <w:r>
        <w:rPr>
          <w:rFonts w:ascii="Trebuchet MS" w:hAnsi="Trebuchet MS"/>
          <w:b/>
          <w:szCs w:val="22"/>
          <w:lang w:val="lt-LT"/>
        </w:rPr>
        <w:t>10</w:t>
      </w:r>
      <w:r w:rsidR="007453CD" w:rsidRPr="00F17ECC">
        <w:rPr>
          <w:rFonts w:ascii="Trebuchet MS" w:hAnsi="Trebuchet MS"/>
          <w:b/>
          <w:szCs w:val="22"/>
          <w:lang w:val="lt-LT"/>
        </w:rPr>
        <w:t xml:space="preserve">. Ar </w:t>
      </w:r>
      <w:r w:rsidR="00EA6DBF">
        <w:rPr>
          <w:rFonts w:ascii="Trebuchet MS" w:hAnsi="Trebuchet MS"/>
          <w:b/>
          <w:szCs w:val="22"/>
          <w:lang w:val="lt-LT"/>
        </w:rPr>
        <w:t xml:space="preserve">mokesčių mokėtojas </w:t>
      </w:r>
      <w:r w:rsidR="007453CD" w:rsidRPr="00F17ECC">
        <w:rPr>
          <w:rFonts w:ascii="Trebuchet MS" w:hAnsi="Trebuchet MS"/>
          <w:b/>
          <w:szCs w:val="22"/>
          <w:lang w:val="lt-LT"/>
        </w:rPr>
        <w:t>norėdamas taikyti tą pačią palyginimų paiešką 3 m., vėlesniais metais turi atnaujinti palyginimų duomenis ir perskaičiuoti ištiestosios rankos intervalą</w:t>
      </w:r>
      <w:r w:rsidR="007453CD" w:rsidRPr="00E01A61">
        <w:rPr>
          <w:rFonts w:ascii="Trebuchet MS" w:hAnsi="Trebuchet MS"/>
          <w:b/>
          <w:szCs w:val="22"/>
          <w:lang w:val="lt-LT"/>
        </w:rPr>
        <w:t>?</w:t>
      </w:r>
    </w:p>
    <w:p w14:paraId="04BBB9A1" w14:textId="3D3422AF"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lastRenderedPageBreak/>
        <w:t>Ne. Norint naudoti tuos pačius palyginimų duomenis vėlesniais metais (ne ilgiau kaip trejus metus) palyginimų duomenų ir paties ištiestosios rankos intervalo atnaujinti nereikia. Norint taikyti Kainodaros taisyklių 89 p., svarbu užtikrinti, kad būtų tenkinama sąlyga, jog vėlesniais metais ekonominės aplinkybės rinkoje reikšmingai nekito, jas lyginant su praėjusiais laikotarpiais, kurių duomenys naudoti skaičiuojant praėjusio laikotarpio ištiestosios rankos intervalą</w:t>
      </w:r>
      <w:r w:rsidR="00576BEF" w:rsidRPr="00F17ECC">
        <w:rPr>
          <w:rFonts w:ascii="Trebuchet MS" w:hAnsi="Trebuchet MS"/>
          <w:szCs w:val="22"/>
          <w:lang w:val="lt-LT"/>
        </w:rPr>
        <w:t xml:space="preserve"> (p</w:t>
      </w:r>
      <w:r w:rsidR="00321FE6" w:rsidRPr="00F17ECC">
        <w:rPr>
          <w:rFonts w:ascii="Trebuchet MS" w:hAnsi="Trebuchet MS"/>
          <w:szCs w:val="22"/>
          <w:lang w:val="lt-LT"/>
        </w:rPr>
        <w:t>avyzdžiui, nevyko pasaulinės ekonominės ar finansinės krizės, nebuvo globalaus masto epidemijų ar karo, tiesiogiai paveikusio palyginamųjų įmonių veiklos regioną)</w:t>
      </w:r>
      <w:r w:rsidRPr="00F17ECC">
        <w:rPr>
          <w:rFonts w:ascii="Trebuchet MS" w:hAnsi="Trebuchet MS"/>
          <w:szCs w:val="22"/>
          <w:lang w:val="lt-LT"/>
        </w:rPr>
        <w:t xml:space="preserve">. </w:t>
      </w:r>
    </w:p>
    <w:p w14:paraId="30CD110F" w14:textId="18F34014"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Jeigu mokesčių mokėtojas visgi pasirinktų atnaujinti anksčiau atliktos palyginimų paieškos rodiklių duomenis, neatlikdamas jokių kitų atnaujinimų (</w:t>
      </w:r>
      <w:r w:rsidR="00B8787E" w:rsidRPr="00F17ECC">
        <w:rPr>
          <w:rFonts w:ascii="Trebuchet MS" w:hAnsi="Trebuchet MS"/>
          <w:szCs w:val="22"/>
          <w:lang w:val="lt-LT"/>
        </w:rPr>
        <w:t xml:space="preserve">t. y. </w:t>
      </w:r>
      <w:r w:rsidRPr="00F17ECC">
        <w:rPr>
          <w:rFonts w:ascii="Trebuchet MS" w:hAnsi="Trebuchet MS"/>
          <w:szCs w:val="22"/>
          <w:lang w:val="lt-LT"/>
        </w:rPr>
        <w:t>neatlikdamas naujos paieškos), tokiais duomenimis negalėtų vadovautis be papildomos analizės atlikimo, t</w:t>
      </w:r>
      <w:r w:rsidR="007F7039">
        <w:rPr>
          <w:rFonts w:ascii="Trebuchet MS" w:hAnsi="Trebuchet MS"/>
          <w:szCs w:val="22"/>
          <w:lang w:val="lt-LT"/>
        </w:rPr>
        <w:t>.</w:t>
      </w:r>
      <w:r w:rsidRPr="00F17ECC">
        <w:rPr>
          <w:rFonts w:ascii="Trebuchet MS" w:hAnsi="Trebuchet MS"/>
          <w:szCs w:val="22"/>
          <w:lang w:val="lt-LT"/>
        </w:rPr>
        <w:t xml:space="preserve"> y. tokiu atveju mokesčių mokėtojas turėtų papildomai įvertinti, ar anksčiau atrinkti palyginimai atitinka anksčiau nustatytus palyginimo kriterijus ir </w:t>
      </w:r>
      <w:r w:rsidR="006C3342" w:rsidRPr="00F17ECC">
        <w:rPr>
          <w:rFonts w:ascii="Trebuchet MS" w:hAnsi="Trebuchet MS"/>
          <w:szCs w:val="22"/>
          <w:lang w:val="lt-LT"/>
        </w:rPr>
        <w:t xml:space="preserve">vėlesniais </w:t>
      </w:r>
      <w:r w:rsidRPr="00F17ECC">
        <w:rPr>
          <w:rFonts w:ascii="Trebuchet MS" w:hAnsi="Trebuchet MS"/>
          <w:szCs w:val="22"/>
          <w:lang w:val="lt-LT"/>
        </w:rPr>
        <w:t xml:space="preserve">metais. Pavyzdžiui: ar </w:t>
      </w:r>
      <w:r w:rsidR="00B8787E" w:rsidRPr="00F17ECC">
        <w:rPr>
          <w:rFonts w:ascii="Trebuchet MS" w:hAnsi="Trebuchet MS"/>
          <w:szCs w:val="22"/>
          <w:lang w:val="lt-LT"/>
        </w:rPr>
        <w:t>atrinktos įmonės ir vėlesniais metais laikomos n</w:t>
      </w:r>
      <w:r w:rsidRPr="00F17ECC">
        <w:rPr>
          <w:rFonts w:ascii="Trebuchet MS" w:hAnsi="Trebuchet MS"/>
          <w:szCs w:val="22"/>
          <w:lang w:val="lt-LT"/>
        </w:rPr>
        <w:t>epriklausom</w:t>
      </w:r>
      <w:r w:rsidR="00B8787E" w:rsidRPr="00F17ECC">
        <w:rPr>
          <w:rFonts w:ascii="Trebuchet MS" w:hAnsi="Trebuchet MS"/>
          <w:szCs w:val="22"/>
          <w:lang w:val="lt-LT"/>
        </w:rPr>
        <w:t>omis, ar</w:t>
      </w:r>
      <w:r w:rsidRPr="00F17ECC">
        <w:rPr>
          <w:rFonts w:ascii="Trebuchet MS" w:hAnsi="Trebuchet MS"/>
          <w:szCs w:val="22"/>
          <w:lang w:val="lt-LT"/>
        </w:rPr>
        <w:t xml:space="preserve"> netapo įmonių grupės dalimi, ar nepradėjo vykdyti kitos veiklos</w:t>
      </w:r>
      <w:r w:rsidR="00B8787E" w:rsidRPr="00F17ECC">
        <w:rPr>
          <w:rFonts w:ascii="Trebuchet MS" w:hAnsi="Trebuchet MS"/>
          <w:szCs w:val="22"/>
          <w:lang w:val="lt-LT"/>
        </w:rPr>
        <w:t xml:space="preserve"> ar taikyti kitokios verslo strategijos (tai galimai rodytų nuostolio generavimas)</w:t>
      </w:r>
      <w:r w:rsidRPr="00F17ECC">
        <w:rPr>
          <w:rFonts w:ascii="Trebuchet MS" w:hAnsi="Trebuchet MS"/>
          <w:szCs w:val="22"/>
          <w:lang w:val="lt-LT"/>
        </w:rPr>
        <w:t>.</w:t>
      </w:r>
    </w:p>
    <w:p w14:paraId="46142F6F" w14:textId="02D6D83F" w:rsidR="007453CD" w:rsidRDefault="007453CD" w:rsidP="00C9122C">
      <w:pPr>
        <w:pStyle w:val="Pagrindiniotekstotrauka2"/>
        <w:tabs>
          <w:tab w:val="left" w:pos="720"/>
        </w:tabs>
        <w:spacing w:after="0" w:line="240" w:lineRule="auto"/>
        <w:ind w:left="0"/>
        <w:contextualSpacing/>
        <w:jc w:val="both"/>
        <w:rPr>
          <w:rFonts w:ascii="Trebuchet MS" w:hAnsi="Trebuchet MS"/>
          <w:szCs w:val="22"/>
          <w:lang w:val="lt-LT"/>
        </w:rPr>
      </w:pPr>
      <w:r w:rsidRPr="00F17ECC">
        <w:rPr>
          <w:rFonts w:ascii="Trebuchet MS" w:hAnsi="Trebuchet MS"/>
          <w:szCs w:val="22"/>
          <w:lang w:val="lt-LT"/>
        </w:rPr>
        <w:tab/>
        <w:t>Pažymėtina, kad vadovaujantis Kainodaros taisyklių 55 p., pareiga įrodyti, kad ištiestosios rankos intervalas sudarytas naudojant vienodai patikimus palyginimus, tenka mokesčių mokėtojui.</w:t>
      </w:r>
    </w:p>
    <w:p w14:paraId="0F6C9E01" w14:textId="11E58393" w:rsidR="007453CD" w:rsidRDefault="00297FBE" w:rsidP="00C9122C">
      <w:pPr>
        <w:pStyle w:val="Pagrindiniotekstotrauka2"/>
        <w:tabs>
          <w:tab w:val="left" w:pos="720"/>
        </w:tabs>
        <w:spacing w:after="0" w:line="240" w:lineRule="auto"/>
        <w:ind w:left="0"/>
        <w:contextualSpacing/>
        <w:jc w:val="both"/>
        <w:rPr>
          <w:rFonts w:ascii="Trebuchet MS" w:hAnsi="Trebuchet MS"/>
          <w:szCs w:val="22"/>
          <w:lang w:val="lt-LT"/>
        </w:rPr>
      </w:pPr>
      <w:r>
        <w:rPr>
          <w:rFonts w:ascii="Trebuchet MS" w:hAnsi="Trebuchet MS"/>
          <w:szCs w:val="22"/>
          <w:lang w:val="lt-LT"/>
        </w:rPr>
        <w:tab/>
      </w:r>
      <w:r w:rsidR="0051149A">
        <w:rPr>
          <w:rFonts w:ascii="Trebuchet MS" w:hAnsi="Trebuchet MS"/>
          <w:szCs w:val="22"/>
          <w:lang w:val="lt-LT"/>
        </w:rPr>
        <w:t xml:space="preserve">Taigi </w:t>
      </w:r>
      <w:r w:rsidR="007F7039">
        <w:rPr>
          <w:rFonts w:ascii="Trebuchet MS" w:hAnsi="Trebuchet MS"/>
          <w:szCs w:val="22"/>
          <w:lang w:val="lt-LT"/>
        </w:rPr>
        <w:t>Kainodaros taisyklių nuostatos dėl atrinktų palyginamųjų įmonių finansinių duomenų atnaujinimo skiriasi nuo EBPO gair</w:t>
      </w:r>
      <w:r w:rsidR="0051149A">
        <w:rPr>
          <w:rFonts w:ascii="Trebuchet MS" w:hAnsi="Trebuchet MS"/>
          <w:szCs w:val="22"/>
          <w:lang w:val="lt-LT"/>
        </w:rPr>
        <w:t xml:space="preserve">ių nuostatų (žr. EBPO gairių </w:t>
      </w:r>
      <w:r w:rsidR="007F7039">
        <w:rPr>
          <w:rFonts w:ascii="Trebuchet MS" w:hAnsi="Trebuchet MS"/>
          <w:szCs w:val="22"/>
          <w:lang w:val="lt-LT"/>
        </w:rPr>
        <w:t>5.38 punkt</w:t>
      </w:r>
      <w:r w:rsidR="0051149A">
        <w:rPr>
          <w:rFonts w:ascii="Trebuchet MS" w:hAnsi="Trebuchet MS"/>
          <w:szCs w:val="22"/>
          <w:lang w:val="lt-LT"/>
        </w:rPr>
        <w:t>ą</w:t>
      </w:r>
      <w:r w:rsidR="007F7039">
        <w:rPr>
          <w:rFonts w:ascii="Trebuchet MS" w:hAnsi="Trebuchet MS"/>
          <w:szCs w:val="22"/>
          <w:lang w:val="lt-LT"/>
        </w:rPr>
        <w:t>)</w:t>
      </w:r>
      <w:r w:rsidR="0051149A">
        <w:rPr>
          <w:rFonts w:ascii="Trebuchet MS" w:hAnsi="Trebuchet MS"/>
          <w:szCs w:val="22"/>
          <w:lang w:val="lt-LT"/>
        </w:rPr>
        <w:t xml:space="preserve">: Kainodaros taisyklės </w:t>
      </w:r>
      <w:r w:rsidR="00C96D6D">
        <w:rPr>
          <w:rFonts w:ascii="Trebuchet MS" w:hAnsi="Trebuchet MS"/>
          <w:szCs w:val="22"/>
          <w:lang w:val="lt-LT"/>
        </w:rPr>
        <w:t xml:space="preserve">viena vertus, įtvirtinta palankesnį reguliavimą, nes </w:t>
      </w:r>
      <w:r w:rsidR="0051149A">
        <w:rPr>
          <w:rFonts w:ascii="Trebuchet MS" w:hAnsi="Trebuchet MS"/>
          <w:szCs w:val="22"/>
          <w:lang w:val="lt-LT"/>
        </w:rPr>
        <w:t>nereikalauja atlikti atrinktų palygin</w:t>
      </w:r>
      <w:r w:rsidR="00A77142">
        <w:rPr>
          <w:rFonts w:ascii="Trebuchet MS" w:hAnsi="Trebuchet MS"/>
          <w:szCs w:val="22"/>
          <w:lang w:val="lt-LT"/>
        </w:rPr>
        <w:t>amųjų įmonių</w:t>
      </w:r>
      <w:r w:rsidR="0051149A">
        <w:rPr>
          <w:rFonts w:ascii="Trebuchet MS" w:hAnsi="Trebuchet MS"/>
          <w:szCs w:val="22"/>
          <w:lang w:val="lt-LT"/>
        </w:rPr>
        <w:t xml:space="preserve"> duomenų kasmetinio atnaujinimo. Kita vertus, Kainodaros taisyklės nedraudžia minėtų duomenų atnaujinti</w:t>
      </w:r>
      <w:r w:rsidR="00C96D6D">
        <w:rPr>
          <w:rFonts w:ascii="Trebuchet MS" w:hAnsi="Trebuchet MS"/>
          <w:szCs w:val="22"/>
          <w:lang w:val="lt-LT"/>
        </w:rPr>
        <w:t xml:space="preserve"> ir kasmet</w:t>
      </w:r>
      <w:r w:rsidR="0051149A">
        <w:rPr>
          <w:rFonts w:ascii="Trebuchet MS" w:hAnsi="Trebuchet MS"/>
          <w:szCs w:val="22"/>
          <w:lang w:val="lt-LT"/>
        </w:rPr>
        <w:t xml:space="preserve">, tačiau sistemiškai vertinant kitas Kainodaros taisyklių nuostatas, pasirinkus minėtus duomenis atnaujinti, mokesčių mokėtojai dar turi atlikti ir papildomus veiksmus dėl </w:t>
      </w:r>
      <w:r w:rsidR="00C96D6D">
        <w:rPr>
          <w:rFonts w:ascii="Trebuchet MS" w:hAnsi="Trebuchet MS"/>
          <w:szCs w:val="22"/>
          <w:lang w:val="lt-LT"/>
        </w:rPr>
        <w:t xml:space="preserve">tinkamo </w:t>
      </w:r>
      <w:r w:rsidR="0051149A">
        <w:rPr>
          <w:rFonts w:ascii="Trebuchet MS" w:hAnsi="Trebuchet MS"/>
          <w:szCs w:val="22"/>
          <w:lang w:val="lt-LT"/>
        </w:rPr>
        <w:t xml:space="preserve">naudojamų duomenų palyginamumo užtikrinimo. </w:t>
      </w:r>
    </w:p>
    <w:p w14:paraId="2CF54DFC" w14:textId="77777777" w:rsidR="0028727E" w:rsidRPr="00F17ECC" w:rsidRDefault="0028727E" w:rsidP="00C9122C">
      <w:pPr>
        <w:pStyle w:val="Pagrindiniotekstotrauka2"/>
        <w:tabs>
          <w:tab w:val="left" w:pos="720"/>
        </w:tabs>
        <w:spacing w:after="0" w:line="240" w:lineRule="auto"/>
        <w:ind w:left="0"/>
        <w:contextualSpacing/>
        <w:jc w:val="both"/>
        <w:rPr>
          <w:rFonts w:ascii="Trebuchet MS" w:hAnsi="Trebuchet MS"/>
          <w:szCs w:val="22"/>
          <w:lang w:val="lt-LT"/>
        </w:rPr>
      </w:pPr>
    </w:p>
    <w:p w14:paraId="54F63652" w14:textId="311AB387" w:rsidR="007453CD" w:rsidRPr="00F17ECC" w:rsidRDefault="00315077" w:rsidP="00F03DE1">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b/>
          <w:color w:val="000000"/>
          <w:szCs w:val="22"/>
          <w:lang w:val="lt-LT" w:eastAsia="en-US"/>
        </w:rPr>
        <w:t>1</w:t>
      </w:r>
      <w:r w:rsidR="00412C3E">
        <w:rPr>
          <w:rFonts w:ascii="Trebuchet MS" w:hAnsi="Trebuchet MS"/>
          <w:b/>
          <w:color w:val="000000"/>
          <w:szCs w:val="22"/>
          <w:lang w:val="lt-LT" w:eastAsia="en-US"/>
        </w:rPr>
        <w:t>1</w:t>
      </w:r>
      <w:r w:rsidR="007453CD" w:rsidRPr="00F17ECC">
        <w:rPr>
          <w:rFonts w:ascii="Trebuchet MS" w:hAnsi="Trebuchet MS"/>
          <w:b/>
          <w:color w:val="000000"/>
          <w:szCs w:val="22"/>
          <w:lang w:val="lt-LT" w:eastAsia="en-US"/>
        </w:rPr>
        <w:t xml:space="preserve">. Ar </w:t>
      </w:r>
      <w:r w:rsidR="00ED4783">
        <w:rPr>
          <w:rFonts w:ascii="Trebuchet MS" w:hAnsi="Trebuchet MS"/>
          <w:b/>
          <w:color w:val="000000"/>
          <w:szCs w:val="22"/>
          <w:lang w:val="lt-LT" w:eastAsia="en-US"/>
        </w:rPr>
        <w:t xml:space="preserve">mokesčių mokėtojas, </w:t>
      </w:r>
      <w:r w:rsidR="007453CD" w:rsidRPr="00F17ECC">
        <w:rPr>
          <w:rFonts w:ascii="Trebuchet MS" w:hAnsi="Trebuchet MS"/>
          <w:b/>
          <w:color w:val="000000"/>
          <w:szCs w:val="22"/>
          <w:lang w:val="lt-LT" w:eastAsia="en-US"/>
        </w:rPr>
        <w:t>atrinkęs palyginimus, jų rodiklių vidutinę reikšmę gali apskaičiuoti taikydamas bet kokios rūšies vidurkio formulę?</w:t>
      </w:r>
    </w:p>
    <w:p w14:paraId="048EDD35" w14:textId="0AF739B9" w:rsidR="007453CD" w:rsidRPr="00F17ECC" w:rsidRDefault="007453CD" w:rsidP="00F03DE1">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Mokesčių administratorius paprastai rekomenduoja skaičiuoti paprastąjį (aritmetinį) vidurkį dėl jo formulės aiškumo ir paprastumo.</w:t>
      </w:r>
    </w:p>
    <w:p w14:paraId="77C8DF91" w14:textId="08910A9C" w:rsidR="007453CD" w:rsidRPr="00F17ECC" w:rsidRDefault="007453CD" w:rsidP="00F03DE1">
      <w:pPr>
        <w:autoSpaceDE w:val="0"/>
        <w:autoSpaceDN w:val="0"/>
        <w:adjustRightInd w:val="0"/>
        <w:spacing w:after="0"/>
        <w:ind w:firstLine="720"/>
        <w:jc w:val="both"/>
        <w:rPr>
          <w:rFonts w:ascii="Trebuchet MS" w:hAnsi="Trebuchet MS"/>
          <w:lang w:val="lt-LT"/>
        </w:rPr>
      </w:pPr>
      <w:r w:rsidRPr="00F17ECC">
        <w:rPr>
          <w:rFonts w:ascii="Trebuchet MS" w:hAnsi="Trebuchet MS"/>
          <w:lang w:val="lt-LT"/>
        </w:rPr>
        <w:t>Mokesčių mokėtojui pasirinkus konkrečioje situacijoje skaičiuoti ne aritmetinį, o svertinį vidurkį, turėtų būti pateikiamas tokio pasirinkimo paaiškinimas (pagrindimas), kaip / kokią įtaką daro įvestas svertas rodiklio vidutinei reikšmei. Paprastai mokesčių administratorius sutinka ir su svertinio vidurkio taikymu tuomet, kai nėra esminių reikšmių skirtumų tarp aritmetinio ir svertinio vidurkių rodiklių</w:t>
      </w:r>
      <w:r w:rsidR="00FD25CA">
        <w:rPr>
          <w:rFonts w:ascii="Trebuchet MS" w:hAnsi="Trebuchet MS"/>
          <w:lang w:val="lt-LT"/>
        </w:rPr>
        <w:t xml:space="preserve"> </w:t>
      </w:r>
      <w:r w:rsidR="00FD25CA" w:rsidRPr="0028727E">
        <w:rPr>
          <w:rFonts w:ascii="Trebuchet MS" w:hAnsi="Trebuchet MS"/>
          <w:lang w:val="lt-LT"/>
        </w:rPr>
        <w:t xml:space="preserve">arba </w:t>
      </w:r>
      <w:r w:rsidR="00541034" w:rsidRPr="0028727E">
        <w:rPr>
          <w:rFonts w:ascii="Trebuchet MS" w:hAnsi="Trebuchet MS"/>
          <w:lang w:val="lt-LT"/>
        </w:rPr>
        <w:t>mokes</w:t>
      </w:r>
      <w:r w:rsidR="00A9581E" w:rsidRPr="0028727E">
        <w:rPr>
          <w:rFonts w:ascii="Trebuchet MS" w:hAnsi="Trebuchet MS"/>
          <w:lang w:val="lt-LT"/>
        </w:rPr>
        <w:t xml:space="preserve">čių mokėtojas pagrindžia, jog </w:t>
      </w:r>
      <w:r w:rsidR="00FD25CA" w:rsidRPr="0028727E">
        <w:rPr>
          <w:rFonts w:ascii="Trebuchet MS" w:hAnsi="Trebuchet MS"/>
          <w:lang w:val="lt-LT"/>
        </w:rPr>
        <w:t xml:space="preserve">pasirinktas svertas sudaro galimybes tiksliau </w:t>
      </w:r>
      <w:r w:rsidR="00A9581E" w:rsidRPr="0028727E">
        <w:rPr>
          <w:rFonts w:ascii="Trebuchet MS" w:hAnsi="Trebuchet MS"/>
          <w:lang w:val="lt-LT"/>
        </w:rPr>
        <w:t>apskaičiuoti atitinkamą rodiklį konkrečiu atveju</w:t>
      </w:r>
      <w:r w:rsidRPr="0028727E">
        <w:rPr>
          <w:rFonts w:ascii="Trebuchet MS" w:hAnsi="Trebuchet MS"/>
          <w:lang w:val="lt-LT"/>
        </w:rPr>
        <w:t>.</w:t>
      </w:r>
    </w:p>
    <w:p w14:paraId="7B91B2C6" w14:textId="630D390B" w:rsidR="00713750" w:rsidRPr="00F17ECC" w:rsidRDefault="00713750" w:rsidP="00713750">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i/>
          <w:lang w:val="lt-LT"/>
        </w:rPr>
        <w:t>Pavyzdys</w:t>
      </w:r>
      <w:r w:rsidRPr="00F17ECC">
        <w:rPr>
          <w:rFonts w:ascii="Trebuchet MS" w:hAnsi="Trebuchet MS"/>
          <w:lang w:val="lt-LT"/>
        </w:rPr>
        <w:t xml:space="preserve">. </w:t>
      </w:r>
      <w:r w:rsidRPr="00F17ECC">
        <w:rPr>
          <w:rFonts w:ascii="Trebuchet MS" w:hAnsi="Trebuchet MS"/>
          <w:color w:val="000000"/>
          <w:szCs w:val="22"/>
          <w:lang w:val="lt-LT" w:eastAsia="en-US"/>
        </w:rPr>
        <w:t xml:space="preserve">Siekiant nustatyti sandorių tarp įmonės C ir įmonės D </w:t>
      </w:r>
      <w:r w:rsidR="00DA49CE">
        <w:rPr>
          <w:rFonts w:ascii="Trebuchet MS" w:hAnsi="Trebuchet MS"/>
          <w:color w:val="000000"/>
          <w:szCs w:val="22"/>
          <w:lang w:val="lt-LT" w:eastAsia="en-US"/>
        </w:rPr>
        <w:t xml:space="preserve">kainų </w:t>
      </w:r>
      <w:r w:rsidRPr="00F17ECC">
        <w:rPr>
          <w:rFonts w:ascii="Trebuchet MS" w:hAnsi="Trebuchet MS"/>
          <w:color w:val="000000"/>
          <w:szCs w:val="22"/>
          <w:lang w:val="lt-LT" w:eastAsia="en-US"/>
        </w:rPr>
        <w:t>atitikimą IRP, buvo atlikta palygin</w:t>
      </w:r>
      <w:r w:rsidR="003A47C4" w:rsidRPr="00F17ECC">
        <w:rPr>
          <w:rFonts w:ascii="Trebuchet MS" w:hAnsi="Trebuchet MS"/>
          <w:color w:val="000000"/>
          <w:szCs w:val="22"/>
          <w:lang w:val="lt-LT" w:eastAsia="en-US"/>
        </w:rPr>
        <w:t>im</w:t>
      </w:r>
      <w:r w:rsidRPr="00F17ECC">
        <w:rPr>
          <w:rFonts w:ascii="Trebuchet MS" w:hAnsi="Trebuchet MS"/>
          <w:color w:val="000000"/>
          <w:szCs w:val="22"/>
          <w:lang w:val="lt-LT" w:eastAsia="en-US"/>
        </w:rPr>
        <w:t>ų paieška duomenų bazėje. Rast</w:t>
      </w:r>
      <w:r w:rsidR="002C57A8">
        <w:rPr>
          <w:rFonts w:ascii="Trebuchet MS" w:hAnsi="Trebuchet MS"/>
          <w:color w:val="000000"/>
          <w:szCs w:val="22"/>
          <w:lang w:val="lt-LT" w:eastAsia="en-US"/>
        </w:rPr>
        <w:t>os</w:t>
      </w:r>
      <w:r w:rsidRPr="00F17ECC">
        <w:rPr>
          <w:rFonts w:ascii="Trebuchet MS" w:hAnsi="Trebuchet MS"/>
          <w:color w:val="000000"/>
          <w:szCs w:val="22"/>
          <w:lang w:val="lt-LT" w:eastAsia="en-US"/>
        </w:rPr>
        <w:t xml:space="preserve"> 3 palyginamosios įmonės. Atsižvelgiant į tai, kad palygin</w:t>
      </w:r>
      <w:r w:rsidR="003A47C4" w:rsidRPr="00F17ECC">
        <w:rPr>
          <w:rFonts w:ascii="Trebuchet MS" w:hAnsi="Trebuchet MS"/>
          <w:color w:val="000000"/>
          <w:szCs w:val="22"/>
          <w:lang w:val="lt-LT" w:eastAsia="en-US"/>
        </w:rPr>
        <w:t>im</w:t>
      </w:r>
      <w:r w:rsidRPr="00F17ECC">
        <w:rPr>
          <w:rFonts w:ascii="Trebuchet MS" w:hAnsi="Trebuchet MS"/>
          <w:color w:val="000000"/>
          <w:szCs w:val="22"/>
          <w:lang w:val="lt-LT" w:eastAsia="en-US"/>
        </w:rPr>
        <w:t>ų ieškota 20X5 m. buvo naudoti trejų metų duomenys 20X2, 20X3 ir 20X4 m., siekiant išvengti netipinių duomenų poveikio galutiniam rezultatui. Pasirinktas rodiklis – veiklos pelningumas (EBIT marža)</w:t>
      </w:r>
      <w:r w:rsidR="003A47C4" w:rsidRPr="00F17ECC">
        <w:rPr>
          <w:rStyle w:val="Puslapioinaosnuoroda"/>
          <w:rFonts w:ascii="Trebuchet MS" w:hAnsi="Trebuchet MS"/>
          <w:color w:val="000000"/>
          <w:szCs w:val="22"/>
          <w:lang w:val="lt-LT" w:eastAsia="en-US"/>
        </w:rPr>
        <w:footnoteReference w:id="5"/>
      </w:r>
      <w:r w:rsidRPr="00F17ECC">
        <w:rPr>
          <w:rFonts w:ascii="Trebuchet MS" w:hAnsi="Trebuchet MS"/>
          <w:color w:val="000000"/>
          <w:szCs w:val="22"/>
          <w:lang w:val="lt-LT" w:eastAsia="en-US"/>
        </w:rPr>
        <w:t>. 2 lentelėje pateikiami palyginamųjų įmonių veiklos rodikliai, kurių pagrindu apskaičiuotas veiklos pelningumas.</w:t>
      </w:r>
    </w:p>
    <w:p w14:paraId="1F845B14" w14:textId="77777777" w:rsidR="00713750" w:rsidRPr="00F17ECC" w:rsidRDefault="00713750" w:rsidP="00713750">
      <w:pPr>
        <w:autoSpaceDE w:val="0"/>
        <w:autoSpaceDN w:val="0"/>
        <w:adjustRightInd w:val="0"/>
        <w:spacing w:after="0"/>
        <w:ind w:firstLine="720"/>
        <w:jc w:val="both"/>
        <w:rPr>
          <w:rFonts w:ascii="Trebuchet MS" w:hAnsi="Trebuchet MS"/>
          <w:lang w:val="lt-LT"/>
        </w:rPr>
      </w:pPr>
    </w:p>
    <w:p w14:paraId="33A6DF90" w14:textId="77777777" w:rsidR="00713750" w:rsidRPr="00F17ECC" w:rsidRDefault="00713750" w:rsidP="007E39DA">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2 lentelė</w:t>
      </w:r>
    </w:p>
    <w:tbl>
      <w:tblPr>
        <w:tblW w:w="0" w:type="auto"/>
        <w:tblLook w:val="0000" w:firstRow="0" w:lastRow="0" w:firstColumn="0" w:lastColumn="0" w:noHBand="0" w:noVBand="0"/>
      </w:tblPr>
      <w:tblGrid>
        <w:gridCol w:w="1244"/>
        <w:gridCol w:w="801"/>
        <w:gridCol w:w="801"/>
        <w:gridCol w:w="801"/>
        <w:gridCol w:w="1059"/>
        <w:gridCol w:w="1018"/>
        <w:gridCol w:w="1018"/>
        <w:gridCol w:w="962"/>
        <w:gridCol w:w="962"/>
        <w:gridCol w:w="962"/>
      </w:tblGrid>
      <w:tr w:rsidR="00713750" w:rsidRPr="00F17ECC" w14:paraId="2124DEAB" w14:textId="77777777" w:rsidTr="003A2C55">
        <w:trPr>
          <w:trHeight w:val="12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B743A"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Palyginimai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506918A"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Pajamos, tūkst. Eur</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0A2503"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Veiklos pelnas (EBIT), tūkst. Eur</w:t>
            </w:r>
          </w:p>
        </w:tc>
        <w:tc>
          <w:tcPr>
            <w:tcW w:w="0" w:type="auto"/>
            <w:gridSpan w:val="3"/>
            <w:tcBorders>
              <w:top w:val="single" w:sz="4" w:space="0" w:color="auto"/>
              <w:left w:val="single" w:sz="4" w:space="0" w:color="auto"/>
              <w:bottom w:val="single" w:sz="4" w:space="0" w:color="auto"/>
              <w:right w:val="single" w:sz="4" w:space="0" w:color="auto"/>
            </w:tcBorders>
          </w:tcPr>
          <w:p w14:paraId="183AC1AE"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Veiklos pelningumas (EBIT marža)</w:t>
            </w:r>
          </w:p>
        </w:tc>
      </w:tr>
      <w:tr w:rsidR="0014432F" w:rsidRPr="00F17ECC" w14:paraId="73EFE483" w14:textId="77777777" w:rsidTr="003A2C55">
        <w:trPr>
          <w:trHeight w:val="12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7F1147"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C68B64"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ADE3073"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F5A3AA"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947C36"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20X2</w:t>
            </w:r>
          </w:p>
        </w:tc>
        <w:tc>
          <w:tcPr>
            <w:tcW w:w="0" w:type="auto"/>
            <w:tcBorders>
              <w:top w:val="single" w:sz="4" w:space="0" w:color="auto"/>
              <w:left w:val="single" w:sz="4" w:space="0" w:color="auto"/>
              <w:bottom w:val="single" w:sz="4" w:space="0" w:color="auto"/>
              <w:right w:val="single" w:sz="4" w:space="0" w:color="auto"/>
            </w:tcBorders>
            <w:vAlign w:val="center"/>
          </w:tcPr>
          <w:p w14:paraId="356DFA16"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20X3</w:t>
            </w:r>
          </w:p>
        </w:tc>
        <w:tc>
          <w:tcPr>
            <w:tcW w:w="0" w:type="auto"/>
            <w:tcBorders>
              <w:top w:val="single" w:sz="4" w:space="0" w:color="auto"/>
              <w:left w:val="single" w:sz="4" w:space="0" w:color="auto"/>
              <w:bottom w:val="single" w:sz="4" w:space="0" w:color="auto"/>
              <w:right w:val="single" w:sz="4" w:space="0" w:color="auto"/>
            </w:tcBorders>
            <w:vAlign w:val="center"/>
          </w:tcPr>
          <w:p w14:paraId="571FE8FF"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20X4</w:t>
            </w:r>
          </w:p>
        </w:tc>
        <w:tc>
          <w:tcPr>
            <w:tcW w:w="0" w:type="auto"/>
            <w:tcBorders>
              <w:top w:val="single" w:sz="4" w:space="0" w:color="auto"/>
              <w:left w:val="single" w:sz="4" w:space="0" w:color="auto"/>
              <w:bottom w:val="single" w:sz="4" w:space="0" w:color="auto"/>
              <w:right w:val="single" w:sz="4" w:space="0" w:color="auto"/>
            </w:tcBorders>
            <w:vAlign w:val="center"/>
          </w:tcPr>
          <w:p w14:paraId="7E3A51A7"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20X2</w:t>
            </w:r>
          </w:p>
        </w:tc>
        <w:tc>
          <w:tcPr>
            <w:tcW w:w="0" w:type="auto"/>
            <w:tcBorders>
              <w:top w:val="single" w:sz="4" w:space="0" w:color="auto"/>
              <w:left w:val="single" w:sz="4" w:space="0" w:color="auto"/>
              <w:bottom w:val="single" w:sz="4" w:space="0" w:color="auto"/>
              <w:right w:val="single" w:sz="4" w:space="0" w:color="auto"/>
            </w:tcBorders>
            <w:vAlign w:val="center"/>
          </w:tcPr>
          <w:p w14:paraId="1E5B7DC3"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20X3</w:t>
            </w:r>
          </w:p>
        </w:tc>
        <w:tc>
          <w:tcPr>
            <w:tcW w:w="0" w:type="auto"/>
            <w:tcBorders>
              <w:top w:val="single" w:sz="4" w:space="0" w:color="auto"/>
              <w:left w:val="single" w:sz="4" w:space="0" w:color="auto"/>
              <w:bottom w:val="single" w:sz="4" w:space="0" w:color="auto"/>
              <w:right w:val="single" w:sz="4" w:space="0" w:color="auto"/>
            </w:tcBorders>
            <w:vAlign w:val="center"/>
          </w:tcPr>
          <w:p w14:paraId="36F472B0"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20X4</w:t>
            </w:r>
          </w:p>
        </w:tc>
      </w:tr>
      <w:tr w:rsidR="00713750" w:rsidRPr="00F17ECC" w14:paraId="573E1457" w14:textId="77777777" w:rsidTr="003A2C55">
        <w:trPr>
          <w:trHeight w:val="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E97B9C"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37FDAA"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D0B5579"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DAE065"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DF4992"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(5)</w:t>
            </w:r>
          </w:p>
        </w:tc>
        <w:tc>
          <w:tcPr>
            <w:tcW w:w="0" w:type="auto"/>
            <w:tcBorders>
              <w:top w:val="single" w:sz="4" w:space="0" w:color="auto"/>
              <w:left w:val="single" w:sz="4" w:space="0" w:color="auto"/>
              <w:bottom w:val="single" w:sz="4" w:space="0" w:color="auto"/>
              <w:right w:val="single" w:sz="4" w:space="0" w:color="auto"/>
            </w:tcBorders>
            <w:vAlign w:val="center"/>
          </w:tcPr>
          <w:p w14:paraId="42165FCC"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(6)</w:t>
            </w:r>
          </w:p>
        </w:tc>
        <w:tc>
          <w:tcPr>
            <w:tcW w:w="0" w:type="auto"/>
            <w:tcBorders>
              <w:top w:val="single" w:sz="4" w:space="0" w:color="auto"/>
              <w:left w:val="single" w:sz="4" w:space="0" w:color="auto"/>
              <w:bottom w:val="single" w:sz="4" w:space="0" w:color="auto"/>
              <w:right w:val="single" w:sz="4" w:space="0" w:color="auto"/>
            </w:tcBorders>
            <w:vAlign w:val="center"/>
          </w:tcPr>
          <w:p w14:paraId="6F65F551"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(7)</w:t>
            </w:r>
          </w:p>
        </w:tc>
        <w:tc>
          <w:tcPr>
            <w:tcW w:w="0" w:type="auto"/>
            <w:tcBorders>
              <w:top w:val="single" w:sz="4" w:space="0" w:color="auto"/>
              <w:left w:val="single" w:sz="4" w:space="0" w:color="auto"/>
              <w:bottom w:val="single" w:sz="4" w:space="0" w:color="auto"/>
              <w:right w:val="single" w:sz="4" w:space="0" w:color="auto"/>
            </w:tcBorders>
          </w:tcPr>
          <w:p w14:paraId="358106F5"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(5)/(2)</w:t>
            </w:r>
          </w:p>
        </w:tc>
        <w:tc>
          <w:tcPr>
            <w:tcW w:w="0" w:type="auto"/>
            <w:tcBorders>
              <w:top w:val="single" w:sz="4" w:space="0" w:color="auto"/>
              <w:left w:val="single" w:sz="4" w:space="0" w:color="auto"/>
              <w:bottom w:val="single" w:sz="4" w:space="0" w:color="auto"/>
              <w:right w:val="single" w:sz="4" w:space="0" w:color="auto"/>
            </w:tcBorders>
          </w:tcPr>
          <w:p w14:paraId="31F4B973"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(6)/(3)</w:t>
            </w:r>
          </w:p>
        </w:tc>
        <w:tc>
          <w:tcPr>
            <w:tcW w:w="0" w:type="auto"/>
            <w:tcBorders>
              <w:top w:val="single" w:sz="4" w:space="0" w:color="auto"/>
              <w:left w:val="single" w:sz="4" w:space="0" w:color="auto"/>
              <w:bottom w:val="single" w:sz="4" w:space="0" w:color="auto"/>
              <w:right w:val="single" w:sz="4" w:space="0" w:color="auto"/>
            </w:tcBorders>
          </w:tcPr>
          <w:p w14:paraId="147B3F74"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(7)/(4)</w:t>
            </w:r>
          </w:p>
        </w:tc>
      </w:tr>
      <w:tr w:rsidR="0014432F" w:rsidRPr="00F17ECC" w14:paraId="7831C6CC" w14:textId="77777777" w:rsidTr="003A2C5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9F2739"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Įmonė 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BB0727A"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24 110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B2471B7"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22 883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02B2039"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52 686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17FDAA9"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2 189</w:t>
            </w:r>
          </w:p>
        </w:tc>
        <w:tc>
          <w:tcPr>
            <w:tcW w:w="0" w:type="auto"/>
            <w:tcBorders>
              <w:top w:val="single" w:sz="4" w:space="0" w:color="auto"/>
              <w:left w:val="single" w:sz="4" w:space="0" w:color="auto"/>
              <w:bottom w:val="single" w:sz="4" w:space="0" w:color="auto"/>
              <w:right w:val="single" w:sz="4" w:space="0" w:color="auto"/>
            </w:tcBorders>
          </w:tcPr>
          <w:p w14:paraId="00F468D4"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1 663</w:t>
            </w:r>
          </w:p>
        </w:tc>
        <w:tc>
          <w:tcPr>
            <w:tcW w:w="0" w:type="auto"/>
            <w:tcBorders>
              <w:top w:val="single" w:sz="4" w:space="0" w:color="auto"/>
              <w:left w:val="single" w:sz="4" w:space="0" w:color="auto"/>
              <w:bottom w:val="single" w:sz="4" w:space="0" w:color="auto"/>
              <w:right w:val="single" w:sz="4" w:space="0" w:color="auto"/>
            </w:tcBorders>
          </w:tcPr>
          <w:p w14:paraId="3B6641EA"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2 332</w:t>
            </w:r>
          </w:p>
        </w:tc>
        <w:tc>
          <w:tcPr>
            <w:tcW w:w="0" w:type="auto"/>
            <w:tcBorders>
              <w:top w:val="single" w:sz="4" w:space="0" w:color="auto"/>
              <w:left w:val="single" w:sz="4" w:space="0" w:color="auto"/>
              <w:bottom w:val="single" w:sz="4" w:space="0" w:color="auto"/>
              <w:right w:val="single" w:sz="4" w:space="0" w:color="auto"/>
            </w:tcBorders>
            <w:vAlign w:val="bottom"/>
          </w:tcPr>
          <w:p w14:paraId="5CFB90FD"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9,1%</w:t>
            </w:r>
          </w:p>
        </w:tc>
        <w:tc>
          <w:tcPr>
            <w:tcW w:w="0" w:type="auto"/>
            <w:tcBorders>
              <w:top w:val="single" w:sz="4" w:space="0" w:color="auto"/>
              <w:left w:val="single" w:sz="4" w:space="0" w:color="auto"/>
              <w:bottom w:val="single" w:sz="4" w:space="0" w:color="auto"/>
              <w:right w:val="single" w:sz="4" w:space="0" w:color="auto"/>
            </w:tcBorders>
            <w:vAlign w:val="bottom"/>
          </w:tcPr>
          <w:p w14:paraId="39F61D31"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7,3%</w:t>
            </w:r>
          </w:p>
        </w:tc>
        <w:tc>
          <w:tcPr>
            <w:tcW w:w="0" w:type="auto"/>
            <w:tcBorders>
              <w:top w:val="single" w:sz="4" w:space="0" w:color="auto"/>
              <w:left w:val="single" w:sz="4" w:space="0" w:color="auto"/>
              <w:bottom w:val="single" w:sz="4" w:space="0" w:color="auto"/>
              <w:right w:val="single" w:sz="4" w:space="0" w:color="auto"/>
            </w:tcBorders>
            <w:vAlign w:val="bottom"/>
          </w:tcPr>
          <w:p w14:paraId="31CAAE21"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4,4%</w:t>
            </w:r>
          </w:p>
        </w:tc>
      </w:tr>
      <w:tr w:rsidR="0014432F" w:rsidRPr="00F17ECC" w14:paraId="11452735" w14:textId="77777777" w:rsidTr="00E719CE">
        <w:trPr>
          <w:trHeight w:val="255"/>
        </w:trPr>
        <w:tc>
          <w:tcPr>
            <w:tcW w:w="0" w:type="auto"/>
            <w:tcBorders>
              <w:top w:val="nil"/>
              <w:left w:val="single" w:sz="8" w:space="0" w:color="auto"/>
              <w:bottom w:val="single" w:sz="4" w:space="0" w:color="auto"/>
              <w:right w:val="single" w:sz="8" w:space="0" w:color="auto"/>
            </w:tcBorders>
            <w:shd w:val="clear" w:color="auto" w:fill="auto"/>
            <w:noWrap/>
            <w:vAlign w:val="bottom"/>
          </w:tcPr>
          <w:p w14:paraId="1E3917E7"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Įmonė 2</w:t>
            </w:r>
          </w:p>
        </w:tc>
        <w:tc>
          <w:tcPr>
            <w:tcW w:w="0" w:type="auto"/>
            <w:tcBorders>
              <w:top w:val="nil"/>
              <w:left w:val="nil"/>
              <w:bottom w:val="single" w:sz="4" w:space="0" w:color="auto"/>
              <w:right w:val="single" w:sz="4" w:space="0" w:color="auto"/>
            </w:tcBorders>
            <w:shd w:val="clear" w:color="auto" w:fill="auto"/>
            <w:noWrap/>
          </w:tcPr>
          <w:p w14:paraId="0F56AEF2"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17 079</w:t>
            </w:r>
          </w:p>
        </w:tc>
        <w:tc>
          <w:tcPr>
            <w:tcW w:w="0" w:type="auto"/>
            <w:tcBorders>
              <w:top w:val="nil"/>
              <w:left w:val="nil"/>
              <w:bottom w:val="single" w:sz="4" w:space="0" w:color="auto"/>
              <w:right w:val="single" w:sz="4" w:space="0" w:color="auto"/>
            </w:tcBorders>
            <w:shd w:val="clear" w:color="auto" w:fill="auto"/>
            <w:noWrap/>
          </w:tcPr>
          <w:p w14:paraId="0B822BF8"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19 513</w:t>
            </w:r>
          </w:p>
        </w:tc>
        <w:tc>
          <w:tcPr>
            <w:tcW w:w="0" w:type="auto"/>
            <w:tcBorders>
              <w:top w:val="nil"/>
              <w:left w:val="nil"/>
              <w:bottom w:val="single" w:sz="4" w:space="0" w:color="auto"/>
              <w:right w:val="single" w:sz="4" w:space="0" w:color="auto"/>
            </w:tcBorders>
            <w:shd w:val="clear" w:color="auto" w:fill="auto"/>
            <w:noWrap/>
          </w:tcPr>
          <w:p w14:paraId="1BDD8976"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30 807</w:t>
            </w:r>
          </w:p>
        </w:tc>
        <w:tc>
          <w:tcPr>
            <w:tcW w:w="0" w:type="auto"/>
            <w:tcBorders>
              <w:top w:val="nil"/>
              <w:left w:val="nil"/>
              <w:bottom w:val="single" w:sz="4" w:space="0" w:color="auto"/>
              <w:right w:val="single" w:sz="8" w:space="0" w:color="auto"/>
            </w:tcBorders>
            <w:shd w:val="clear" w:color="auto" w:fill="auto"/>
            <w:noWrap/>
          </w:tcPr>
          <w:p w14:paraId="1CEF2878"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835</w:t>
            </w:r>
          </w:p>
        </w:tc>
        <w:tc>
          <w:tcPr>
            <w:tcW w:w="0" w:type="auto"/>
            <w:tcBorders>
              <w:top w:val="nil"/>
              <w:left w:val="nil"/>
              <w:bottom w:val="single" w:sz="4" w:space="0" w:color="auto"/>
              <w:right w:val="single" w:sz="8" w:space="0" w:color="auto"/>
            </w:tcBorders>
          </w:tcPr>
          <w:p w14:paraId="1DF04AB4"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167</w:t>
            </w:r>
          </w:p>
        </w:tc>
        <w:tc>
          <w:tcPr>
            <w:tcW w:w="0" w:type="auto"/>
            <w:tcBorders>
              <w:top w:val="nil"/>
              <w:left w:val="nil"/>
              <w:bottom w:val="single" w:sz="4" w:space="0" w:color="auto"/>
              <w:right w:val="single" w:sz="4" w:space="0" w:color="auto"/>
            </w:tcBorders>
          </w:tcPr>
          <w:p w14:paraId="266E9D54"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524</w:t>
            </w:r>
          </w:p>
        </w:tc>
        <w:tc>
          <w:tcPr>
            <w:tcW w:w="0" w:type="auto"/>
            <w:tcBorders>
              <w:top w:val="single" w:sz="4" w:space="0" w:color="auto"/>
              <w:left w:val="single" w:sz="4" w:space="0" w:color="auto"/>
              <w:bottom w:val="single" w:sz="4" w:space="0" w:color="auto"/>
              <w:right w:val="single" w:sz="4" w:space="0" w:color="auto"/>
            </w:tcBorders>
            <w:vAlign w:val="bottom"/>
          </w:tcPr>
          <w:p w14:paraId="7C96735B"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4,9%</w:t>
            </w:r>
          </w:p>
        </w:tc>
        <w:tc>
          <w:tcPr>
            <w:tcW w:w="0" w:type="auto"/>
            <w:tcBorders>
              <w:top w:val="single" w:sz="4" w:space="0" w:color="auto"/>
              <w:left w:val="single" w:sz="4" w:space="0" w:color="auto"/>
              <w:bottom w:val="single" w:sz="4" w:space="0" w:color="auto"/>
              <w:right w:val="single" w:sz="4" w:space="0" w:color="auto"/>
            </w:tcBorders>
            <w:vAlign w:val="bottom"/>
          </w:tcPr>
          <w:p w14:paraId="32D47414"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0,9%</w:t>
            </w:r>
          </w:p>
        </w:tc>
        <w:tc>
          <w:tcPr>
            <w:tcW w:w="0" w:type="auto"/>
            <w:tcBorders>
              <w:top w:val="single" w:sz="4" w:space="0" w:color="auto"/>
              <w:left w:val="single" w:sz="4" w:space="0" w:color="auto"/>
              <w:bottom w:val="single" w:sz="4" w:space="0" w:color="auto"/>
              <w:right w:val="single" w:sz="4" w:space="0" w:color="auto"/>
            </w:tcBorders>
            <w:vAlign w:val="bottom"/>
          </w:tcPr>
          <w:p w14:paraId="1B75ED39"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1,7%</w:t>
            </w:r>
          </w:p>
        </w:tc>
      </w:tr>
      <w:tr w:rsidR="0014432F" w:rsidRPr="00F17ECC" w14:paraId="578CE7A3" w14:textId="77777777" w:rsidTr="00E719CE">
        <w:trPr>
          <w:trHeight w:val="255"/>
        </w:trPr>
        <w:tc>
          <w:tcPr>
            <w:tcW w:w="0" w:type="auto"/>
            <w:tcBorders>
              <w:top w:val="nil"/>
              <w:left w:val="single" w:sz="8" w:space="0" w:color="auto"/>
              <w:bottom w:val="single" w:sz="4" w:space="0" w:color="auto"/>
              <w:right w:val="single" w:sz="8" w:space="0" w:color="auto"/>
            </w:tcBorders>
            <w:shd w:val="clear" w:color="auto" w:fill="auto"/>
            <w:noWrap/>
            <w:vAlign w:val="bottom"/>
          </w:tcPr>
          <w:p w14:paraId="0D2A8542"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Įmonė 3</w:t>
            </w:r>
          </w:p>
        </w:tc>
        <w:tc>
          <w:tcPr>
            <w:tcW w:w="0" w:type="auto"/>
            <w:tcBorders>
              <w:top w:val="nil"/>
              <w:left w:val="nil"/>
              <w:bottom w:val="single" w:sz="4" w:space="0" w:color="auto"/>
              <w:right w:val="single" w:sz="4" w:space="0" w:color="auto"/>
            </w:tcBorders>
            <w:shd w:val="clear" w:color="auto" w:fill="auto"/>
            <w:noWrap/>
          </w:tcPr>
          <w:p w14:paraId="3346DA24"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4 891</w:t>
            </w:r>
          </w:p>
        </w:tc>
        <w:tc>
          <w:tcPr>
            <w:tcW w:w="0" w:type="auto"/>
            <w:tcBorders>
              <w:top w:val="nil"/>
              <w:left w:val="nil"/>
              <w:bottom w:val="single" w:sz="4" w:space="0" w:color="auto"/>
              <w:right w:val="single" w:sz="4" w:space="0" w:color="auto"/>
            </w:tcBorders>
            <w:shd w:val="clear" w:color="auto" w:fill="auto"/>
            <w:noWrap/>
          </w:tcPr>
          <w:p w14:paraId="402B7484"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7 425</w:t>
            </w:r>
          </w:p>
        </w:tc>
        <w:tc>
          <w:tcPr>
            <w:tcW w:w="0" w:type="auto"/>
            <w:tcBorders>
              <w:top w:val="nil"/>
              <w:left w:val="nil"/>
              <w:bottom w:val="single" w:sz="4" w:space="0" w:color="auto"/>
              <w:right w:val="single" w:sz="4" w:space="0" w:color="auto"/>
            </w:tcBorders>
            <w:shd w:val="clear" w:color="auto" w:fill="auto"/>
            <w:noWrap/>
          </w:tcPr>
          <w:p w14:paraId="5E21B2D5"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11 681</w:t>
            </w:r>
          </w:p>
        </w:tc>
        <w:tc>
          <w:tcPr>
            <w:tcW w:w="0" w:type="auto"/>
            <w:tcBorders>
              <w:top w:val="nil"/>
              <w:left w:val="nil"/>
              <w:bottom w:val="single" w:sz="4" w:space="0" w:color="auto"/>
              <w:right w:val="single" w:sz="8" w:space="0" w:color="auto"/>
            </w:tcBorders>
            <w:shd w:val="clear" w:color="auto" w:fill="auto"/>
            <w:noWrap/>
          </w:tcPr>
          <w:p w14:paraId="4DD68F23"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250</w:t>
            </w:r>
          </w:p>
        </w:tc>
        <w:tc>
          <w:tcPr>
            <w:tcW w:w="0" w:type="auto"/>
            <w:tcBorders>
              <w:top w:val="nil"/>
              <w:left w:val="nil"/>
              <w:bottom w:val="single" w:sz="4" w:space="0" w:color="auto"/>
              <w:right w:val="single" w:sz="8" w:space="0" w:color="auto"/>
            </w:tcBorders>
          </w:tcPr>
          <w:p w14:paraId="3B3E11EC"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351</w:t>
            </w:r>
          </w:p>
        </w:tc>
        <w:tc>
          <w:tcPr>
            <w:tcW w:w="0" w:type="auto"/>
            <w:tcBorders>
              <w:top w:val="nil"/>
              <w:left w:val="nil"/>
              <w:bottom w:val="single" w:sz="4" w:space="0" w:color="auto"/>
              <w:right w:val="single" w:sz="4" w:space="0" w:color="auto"/>
            </w:tcBorders>
          </w:tcPr>
          <w:p w14:paraId="57426D44" w14:textId="77777777" w:rsidR="00713750" w:rsidRPr="00F17ECC" w:rsidRDefault="00713750" w:rsidP="00E719CE">
            <w:pPr>
              <w:autoSpaceDE w:val="0"/>
              <w:autoSpaceDN w:val="0"/>
              <w:adjustRightInd w:val="0"/>
              <w:spacing w:after="0"/>
              <w:rPr>
                <w:rFonts w:ascii="Trebuchet MS" w:hAnsi="Trebuchet MS"/>
                <w:color w:val="000000"/>
                <w:sz w:val="20"/>
                <w:szCs w:val="20"/>
                <w:lang w:val="lt-LT" w:eastAsia="en-US"/>
              </w:rPr>
            </w:pPr>
            <w:r w:rsidRPr="00F17ECC">
              <w:rPr>
                <w:rFonts w:ascii="Trebuchet MS" w:hAnsi="Trebuchet MS"/>
                <w:bCs/>
                <w:color w:val="333333"/>
                <w:sz w:val="20"/>
                <w:szCs w:val="20"/>
                <w:lang w:val="lt-LT"/>
              </w:rPr>
              <w:t>-287</w:t>
            </w:r>
          </w:p>
        </w:tc>
        <w:tc>
          <w:tcPr>
            <w:tcW w:w="0" w:type="auto"/>
            <w:tcBorders>
              <w:top w:val="single" w:sz="4" w:space="0" w:color="auto"/>
              <w:left w:val="single" w:sz="4" w:space="0" w:color="auto"/>
              <w:bottom w:val="single" w:sz="4" w:space="0" w:color="auto"/>
              <w:right w:val="single" w:sz="4" w:space="0" w:color="auto"/>
            </w:tcBorders>
            <w:vAlign w:val="bottom"/>
          </w:tcPr>
          <w:p w14:paraId="2A669E13"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5,1%</w:t>
            </w:r>
          </w:p>
        </w:tc>
        <w:tc>
          <w:tcPr>
            <w:tcW w:w="0" w:type="auto"/>
            <w:tcBorders>
              <w:top w:val="single" w:sz="4" w:space="0" w:color="auto"/>
              <w:left w:val="single" w:sz="4" w:space="0" w:color="auto"/>
              <w:bottom w:val="single" w:sz="4" w:space="0" w:color="auto"/>
              <w:right w:val="single" w:sz="4" w:space="0" w:color="auto"/>
            </w:tcBorders>
            <w:vAlign w:val="bottom"/>
          </w:tcPr>
          <w:p w14:paraId="3DCB069C"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4,7%</w:t>
            </w:r>
          </w:p>
        </w:tc>
        <w:tc>
          <w:tcPr>
            <w:tcW w:w="0" w:type="auto"/>
            <w:tcBorders>
              <w:top w:val="single" w:sz="4" w:space="0" w:color="auto"/>
              <w:left w:val="single" w:sz="4" w:space="0" w:color="auto"/>
              <w:bottom w:val="single" w:sz="4" w:space="0" w:color="auto"/>
              <w:right w:val="single" w:sz="4" w:space="0" w:color="auto"/>
            </w:tcBorders>
            <w:vAlign w:val="bottom"/>
          </w:tcPr>
          <w:p w14:paraId="30C961FE" w14:textId="77777777" w:rsidR="00713750" w:rsidRPr="00F17ECC" w:rsidRDefault="00713750" w:rsidP="00E719CE">
            <w:pPr>
              <w:autoSpaceDE w:val="0"/>
              <w:autoSpaceDN w:val="0"/>
              <w:adjustRightInd w:val="0"/>
              <w:spacing w:after="0"/>
              <w:rPr>
                <w:rFonts w:ascii="Trebuchet MS" w:hAnsi="Trebuchet MS"/>
                <w:bCs/>
                <w:color w:val="333333"/>
                <w:sz w:val="20"/>
                <w:szCs w:val="20"/>
                <w:lang w:val="lt-LT"/>
              </w:rPr>
            </w:pPr>
            <w:r w:rsidRPr="00F17ECC">
              <w:rPr>
                <w:rFonts w:ascii="Trebuchet MS" w:hAnsi="Trebuchet MS"/>
                <w:color w:val="000000"/>
                <w:sz w:val="20"/>
                <w:szCs w:val="20"/>
                <w:lang w:val="lt-LT"/>
              </w:rPr>
              <w:t>-2,5%</w:t>
            </w:r>
          </w:p>
        </w:tc>
      </w:tr>
    </w:tbl>
    <w:p w14:paraId="64EF563D" w14:textId="77777777" w:rsidR="00713750" w:rsidRPr="00F17ECC" w:rsidRDefault="00713750" w:rsidP="00713750">
      <w:pPr>
        <w:autoSpaceDE w:val="0"/>
        <w:autoSpaceDN w:val="0"/>
        <w:adjustRightInd w:val="0"/>
        <w:spacing w:after="0"/>
        <w:jc w:val="both"/>
        <w:rPr>
          <w:rFonts w:ascii="Trebuchet MS" w:hAnsi="Trebuchet MS"/>
          <w:color w:val="000000"/>
          <w:sz w:val="20"/>
          <w:szCs w:val="20"/>
          <w:lang w:val="lt-LT" w:eastAsia="en-US"/>
        </w:rPr>
      </w:pPr>
    </w:p>
    <w:p w14:paraId="4CCC5C85" w14:textId="77777777" w:rsidR="00713750" w:rsidRPr="00F17ECC" w:rsidRDefault="00713750" w:rsidP="00713750">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3 lentelėje pateikiami palyginamųjų įmonių 3 m. veiklos pelningumo rodiklių parastieji (aritmetiniai) ir svertiniai vidurkiai. </w:t>
      </w:r>
    </w:p>
    <w:p w14:paraId="5706258B" w14:textId="77777777" w:rsidR="00713750" w:rsidRPr="00F17ECC" w:rsidRDefault="00713750" w:rsidP="00713750">
      <w:pPr>
        <w:autoSpaceDE w:val="0"/>
        <w:autoSpaceDN w:val="0"/>
        <w:adjustRightInd w:val="0"/>
        <w:spacing w:after="0"/>
        <w:ind w:firstLine="720"/>
        <w:jc w:val="both"/>
        <w:rPr>
          <w:rFonts w:ascii="Trebuchet MS" w:hAnsi="Trebuchet MS"/>
          <w:color w:val="000000"/>
          <w:szCs w:val="22"/>
          <w:lang w:val="lt-LT" w:eastAsia="en-US"/>
        </w:rPr>
      </w:pPr>
    </w:p>
    <w:p w14:paraId="21DB2D6C" w14:textId="77777777" w:rsidR="00713750" w:rsidRPr="00F17ECC" w:rsidRDefault="00713750" w:rsidP="00713750">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1113"/>
        <w:gridCol w:w="1113"/>
        <w:gridCol w:w="1204"/>
        <w:gridCol w:w="1556"/>
        <w:gridCol w:w="1417"/>
        <w:gridCol w:w="994"/>
        <w:gridCol w:w="986"/>
      </w:tblGrid>
      <w:tr w:rsidR="00713750" w:rsidRPr="00F17ECC" w14:paraId="39E664F6" w14:textId="77777777" w:rsidTr="0028727E">
        <w:trPr>
          <w:trHeight w:val="121"/>
        </w:trPr>
        <w:tc>
          <w:tcPr>
            <w:tcW w:w="646" w:type="pct"/>
            <w:vMerge w:val="restart"/>
            <w:shd w:val="clear" w:color="auto" w:fill="auto"/>
            <w:vAlign w:val="center"/>
          </w:tcPr>
          <w:p w14:paraId="706A5F99"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Palyginimai</w:t>
            </w:r>
          </w:p>
        </w:tc>
        <w:tc>
          <w:tcPr>
            <w:tcW w:w="1781" w:type="pct"/>
            <w:gridSpan w:val="3"/>
            <w:shd w:val="clear" w:color="auto" w:fill="auto"/>
            <w:noWrap/>
            <w:vAlign w:val="center"/>
          </w:tcPr>
          <w:p w14:paraId="3BE268D8"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Veiklos pelningumas (EBIT marža),%</w:t>
            </w:r>
          </w:p>
        </w:tc>
        <w:tc>
          <w:tcPr>
            <w:tcW w:w="808" w:type="pct"/>
            <w:vMerge w:val="restart"/>
            <w:shd w:val="clear" w:color="auto" w:fill="auto"/>
            <w:noWrap/>
            <w:vAlign w:val="center"/>
          </w:tcPr>
          <w:p w14:paraId="77DCEE79"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Paprastasis vidurkis, %*</w:t>
            </w:r>
          </w:p>
        </w:tc>
        <w:tc>
          <w:tcPr>
            <w:tcW w:w="736" w:type="pct"/>
            <w:vMerge w:val="restart"/>
          </w:tcPr>
          <w:p w14:paraId="71B58726"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Svertinis vidurkis, %**</w:t>
            </w:r>
          </w:p>
        </w:tc>
        <w:tc>
          <w:tcPr>
            <w:tcW w:w="1028" w:type="pct"/>
            <w:gridSpan w:val="2"/>
          </w:tcPr>
          <w:p w14:paraId="5C0EABEC"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Skirtumas</w:t>
            </w:r>
          </w:p>
        </w:tc>
      </w:tr>
      <w:tr w:rsidR="00713750" w:rsidRPr="00F17ECC" w14:paraId="0400DE24" w14:textId="77777777" w:rsidTr="0028727E">
        <w:trPr>
          <w:trHeight w:val="121"/>
        </w:trPr>
        <w:tc>
          <w:tcPr>
            <w:tcW w:w="646" w:type="pct"/>
            <w:vMerge/>
            <w:shd w:val="clear" w:color="auto" w:fill="auto"/>
            <w:vAlign w:val="center"/>
          </w:tcPr>
          <w:p w14:paraId="56BBFE3E"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p>
        </w:tc>
        <w:tc>
          <w:tcPr>
            <w:tcW w:w="578" w:type="pct"/>
            <w:shd w:val="clear" w:color="auto" w:fill="auto"/>
            <w:noWrap/>
            <w:vAlign w:val="center"/>
          </w:tcPr>
          <w:p w14:paraId="0515784E"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20X2</w:t>
            </w:r>
          </w:p>
        </w:tc>
        <w:tc>
          <w:tcPr>
            <w:tcW w:w="578" w:type="pct"/>
            <w:shd w:val="clear" w:color="auto" w:fill="auto"/>
            <w:noWrap/>
            <w:vAlign w:val="center"/>
          </w:tcPr>
          <w:p w14:paraId="23B4EB68"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20X3</w:t>
            </w:r>
          </w:p>
        </w:tc>
        <w:tc>
          <w:tcPr>
            <w:tcW w:w="625" w:type="pct"/>
            <w:shd w:val="clear" w:color="auto" w:fill="auto"/>
            <w:noWrap/>
            <w:vAlign w:val="center"/>
          </w:tcPr>
          <w:p w14:paraId="6EB7A88E"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20X4</w:t>
            </w:r>
          </w:p>
        </w:tc>
        <w:tc>
          <w:tcPr>
            <w:tcW w:w="808" w:type="pct"/>
            <w:vMerge/>
            <w:shd w:val="clear" w:color="auto" w:fill="auto"/>
            <w:noWrap/>
            <w:vAlign w:val="center"/>
          </w:tcPr>
          <w:p w14:paraId="16CA3D22"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p>
        </w:tc>
        <w:tc>
          <w:tcPr>
            <w:tcW w:w="736" w:type="pct"/>
            <w:vMerge/>
          </w:tcPr>
          <w:p w14:paraId="67980A68"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p>
        </w:tc>
        <w:tc>
          <w:tcPr>
            <w:tcW w:w="516" w:type="pct"/>
          </w:tcPr>
          <w:p w14:paraId="4ED41571" w14:textId="77777777" w:rsidR="00713750" w:rsidRPr="00F17ECC" w:rsidRDefault="00713750" w:rsidP="00E719CE">
            <w:pPr>
              <w:autoSpaceDE w:val="0"/>
              <w:autoSpaceDN w:val="0"/>
              <w:adjustRightInd w:val="0"/>
              <w:spacing w:after="0"/>
              <w:jc w:val="both"/>
              <w:rPr>
                <w:rFonts w:ascii="Trebuchet MS" w:hAnsi="Trebuchet MS"/>
                <w:color w:val="000000"/>
                <w:sz w:val="18"/>
                <w:szCs w:val="18"/>
                <w:lang w:val="lt-LT" w:eastAsia="en-US"/>
              </w:rPr>
            </w:pPr>
            <w:r w:rsidRPr="00F17ECC">
              <w:rPr>
                <w:rFonts w:ascii="Trebuchet MS" w:hAnsi="Trebuchet MS"/>
                <w:color w:val="000000"/>
                <w:sz w:val="18"/>
                <w:szCs w:val="18"/>
                <w:lang w:val="lt-LT" w:eastAsia="en-US"/>
              </w:rPr>
              <w:t>% dalimi</w:t>
            </w:r>
          </w:p>
        </w:tc>
        <w:tc>
          <w:tcPr>
            <w:tcW w:w="512" w:type="pct"/>
          </w:tcPr>
          <w:p w14:paraId="39476BD7" w14:textId="77777777" w:rsidR="00713750" w:rsidRPr="00F17ECC" w:rsidRDefault="00713750" w:rsidP="00E719CE">
            <w:pPr>
              <w:autoSpaceDE w:val="0"/>
              <w:autoSpaceDN w:val="0"/>
              <w:adjustRightInd w:val="0"/>
              <w:spacing w:after="0"/>
              <w:jc w:val="both"/>
              <w:rPr>
                <w:rFonts w:ascii="Trebuchet MS" w:hAnsi="Trebuchet MS"/>
                <w:color w:val="000000"/>
                <w:sz w:val="18"/>
                <w:szCs w:val="18"/>
                <w:lang w:val="lt-LT" w:eastAsia="en-US"/>
              </w:rPr>
            </w:pPr>
            <w:r w:rsidRPr="00F17ECC">
              <w:rPr>
                <w:rFonts w:ascii="Trebuchet MS" w:hAnsi="Trebuchet MS"/>
                <w:color w:val="000000"/>
                <w:sz w:val="18"/>
                <w:szCs w:val="18"/>
                <w:lang w:val="lt-LT" w:eastAsia="en-US"/>
              </w:rPr>
              <w:t>% išraiška</w:t>
            </w:r>
          </w:p>
        </w:tc>
      </w:tr>
      <w:tr w:rsidR="00713750" w:rsidRPr="00F17ECC" w14:paraId="5795034B" w14:textId="77777777" w:rsidTr="0028727E">
        <w:trPr>
          <w:trHeight w:val="121"/>
        </w:trPr>
        <w:tc>
          <w:tcPr>
            <w:tcW w:w="646" w:type="pct"/>
            <w:shd w:val="clear" w:color="auto" w:fill="auto"/>
            <w:vAlign w:val="center"/>
          </w:tcPr>
          <w:p w14:paraId="3056C60C"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(1)</w:t>
            </w:r>
          </w:p>
        </w:tc>
        <w:tc>
          <w:tcPr>
            <w:tcW w:w="578" w:type="pct"/>
            <w:shd w:val="clear" w:color="auto" w:fill="auto"/>
            <w:noWrap/>
            <w:vAlign w:val="center"/>
          </w:tcPr>
          <w:p w14:paraId="0BF89254"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(2)</w:t>
            </w:r>
          </w:p>
        </w:tc>
        <w:tc>
          <w:tcPr>
            <w:tcW w:w="578" w:type="pct"/>
            <w:shd w:val="clear" w:color="auto" w:fill="auto"/>
            <w:noWrap/>
            <w:vAlign w:val="center"/>
          </w:tcPr>
          <w:p w14:paraId="5A125D6E"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(3)</w:t>
            </w:r>
          </w:p>
        </w:tc>
        <w:tc>
          <w:tcPr>
            <w:tcW w:w="625" w:type="pct"/>
            <w:shd w:val="clear" w:color="auto" w:fill="auto"/>
            <w:noWrap/>
            <w:vAlign w:val="center"/>
          </w:tcPr>
          <w:p w14:paraId="0D9738A7"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(4)</w:t>
            </w:r>
          </w:p>
        </w:tc>
        <w:tc>
          <w:tcPr>
            <w:tcW w:w="808" w:type="pct"/>
            <w:shd w:val="clear" w:color="auto" w:fill="auto"/>
            <w:noWrap/>
            <w:vAlign w:val="center"/>
          </w:tcPr>
          <w:p w14:paraId="7D652386"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(5)</w:t>
            </w:r>
          </w:p>
        </w:tc>
        <w:tc>
          <w:tcPr>
            <w:tcW w:w="736" w:type="pct"/>
            <w:vAlign w:val="center"/>
          </w:tcPr>
          <w:p w14:paraId="2C10C91C"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(6)</w:t>
            </w:r>
          </w:p>
        </w:tc>
        <w:tc>
          <w:tcPr>
            <w:tcW w:w="516" w:type="pct"/>
          </w:tcPr>
          <w:p w14:paraId="1B0013B6"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(7)</w:t>
            </w:r>
          </w:p>
        </w:tc>
        <w:tc>
          <w:tcPr>
            <w:tcW w:w="512" w:type="pct"/>
          </w:tcPr>
          <w:p w14:paraId="6D00ED1B" w14:textId="77777777" w:rsidR="00713750" w:rsidRPr="00F17ECC" w:rsidRDefault="00713750" w:rsidP="00E719CE">
            <w:pPr>
              <w:autoSpaceDE w:val="0"/>
              <w:autoSpaceDN w:val="0"/>
              <w:adjustRightInd w:val="0"/>
              <w:spacing w:after="0"/>
              <w:jc w:val="center"/>
              <w:rPr>
                <w:rFonts w:ascii="Trebuchet MS" w:hAnsi="Trebuchet MS"/>
                <w:i/>
                <w:color w:val="000000"/>
                <w:sz w:val="18"/>
                <w:szCs w:val="18"/>
                <w:lang w:val="lt-LT" w:eastAsia="en-US"/>
              </w:rPr>
            </w:pPr>
            <w:r w:rsidRPr="00F17ECC">
              <w:rPr>
                <w:rFonts w:ascii="Trebuchet MS" w:hAnsi="Trebuchet MS"/>
                <w:i/>
                <w:color w:val="000000"/>
                <w:sz w:val="18"/>
                <w:szCs w:val="18"/>
                <w:lang w:val="lt-LT" w:eastAsia="en-US"/>
              </w:rPr>
              <w:t>(8)</w:t>
            </w:r>
          </w:p>
        </w:tc>
      </w:tr>
      <w:tr w:rsidR="00713750" w:rsidRPr="00F17ECC" w14:paraId="144E86E1" w14:textId="77777777" w:rsidTr="0028727E">
        <w:trPr>
          <w:trHeight w:val="255"/>
        </w:trPr>
        <w:tc>
          <w:tcPr>
            <w:tcW w:w="646" w:type="pct"/>
            <w:shd w:val="clear" w:color="auto" w:fill="auto"/>
            <w:noWrap/>
            <w:vAlign w:val="bottom"/>
          </w:tcPr>
          <w:p w14:paraId="0AAC3009"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Įmonė 1</w:t>
            </w:r>
          </w:p>
        </w:tc>
        <w:tc>
          <w:tcPr>
            <w:tcW w:w="578" w:type="pct"/>
            <w:shd w:val="clear" w:color="auto" w:fill="auto"/>
            <w:noWrap/>
            <w:vAlign w:val="bottom"/>
          </w:tcPr>
          <w:p w14:paraId="0ABB904E"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9,1%</w:t>
            </w:r>
          </w:p>
        </w:tc>
        <w:tc>
          <w:tcPr>
            <w:tcW w:w="578" w:type="pct"/>
            <w:shd w:val="clear" w:color="auto" w:fill="auto"/>
            <w:noWrap/>
            <w:vAlign w:val="bottom"/>
          </w:tcPr>
          <w:p w14:paraId="589BBB4E"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7,3%</w:t>
            </w:r>
          </w:p>
        </w:tc>
        <w:tc>
          <w:tcPr>
            <w:tcW w:w="625" w:type="pct"/>
            <w:shd w:val="clear" w:color="auto" w:fill="auto"/>
            <w:noWrap/>
            <w:vAlign w:val="bottom"/>
          </w:tcPr>
          <w:p w14:paraId="696D774D"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4,4%</w:t>
            </w:r>
          </w:p>
        </w:tc>
        <w:tc>
          <w:tcPr>
            <w:tcW w:w="808" w:type="pct"/>
            <w:shd w:val="clear" w:color="auto" w:fill="auto"/>
            <w:noWrap/>
            <w:vAlign w:val="bottom"/>
          </w:tcPr>
          <w:p w14:paraId="2786A841"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bCs/>
                <w:color w:val="333333"/>
                <w:sz w:val="20"/>
                <w:szCs w:val="20"/>
                <w:lang w:val="lt-LT"/>
              </w:rPr>
              <w:t>6,9</w:t>
            </w:r>
          </w:p>
        </w:tc>
        <w:tc>
          <w:tcPr>
            <w:tcW w:w="736" w:type="pct"/>
          </w:tcPr>
          <w:p w14:paraId="73F192F0"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bCs/>
                <w:color w:val="333333"/>
                <w:sz w:val="20"/>
                <w:szCs w:val="20"/>
                <w:lang w:val="lt-LT"/>
              </w:rPr>
              <w:t>6,2</w:t>
            </w:r>
          </w:p>
        </w:tc>
        <w:tc>
          <w:tcPr>
            <w:tcW w:w="516" w:type="pct"/>
            <w:vAlign w:val="bottom"/>
          </w:tcPr>
          <w:p w14:paraId="159EEC6A"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color w:val="000000"/>
                <w:sz w:val="20"/>
                <w:szCs w:val="20"/>
                <w:lang w:val="lt-LT"/>
              </w:rPr>
              <w:t>0,7</w:t>
            </w:r>
          </w:p>
        </w:tc>
        <w:tc>
          <w:tcPr>
            <w:tcW w:w="512" w:type="pct"/>
            <w:vAlign w:val="bottom"/>
          </w:tcPr>
          <w:p w14:paraId="0CE04F4A"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rPr>
            </w:pPr>
            <w:r w:rsidRPr="00F17ECC">
              <w:rPr>
                <w:rFonts w:ascii="Trebuchet MS" w:hAnsi="Trebuchet MS"/>
                <w:color w:val="000000"/>
                <w:sz w:val="20"/>
                <w:szCs w:val="20"/>
                <w:lang w:val="lt-LT"/>
              </w:rPr>
              <w:t>12%</w:t>
            </w:r>
          </w:p>
        </w:tc>
      </w:tr>
      <w:tr w:rsidR="00713750" w:rsidRPr="00F17ECC" w14:paraId="60E17AD8" w14:textId="77777777" w:rsidTr="0028727E">
        <w:trPr>
          <w:trHeight w:val="255"/>
        </w:trPr>
        <w:tc>
          <w:tcPr>
            <w:tcW w:w="646" w:type="pct"/>
            <w:shd w:val="clear" w:color="auto" w:fill="auto"/>
            <w:noWrap/>
            <w:vAlign w:val="bottom"/>
          </w:tcPr>
          <w:p w14:paraId="239913AC"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Įmonė 2</w:t>
            </w:r>
          </w:p>
        </w:tc>
        <w:tc>
          <w:tcPr>
            <w:tcW w:w="578" w:type="pct"/>
            <w:shd w:val="clear" w:color="auto" w:fill="auto"/>
            <w:noWrap/>
            <w:vAlign w:val="bottom"/>
          </w:tcPr>
          <w:p w14:paraId="42946E39"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4,9%</w:t>
            </w:r>
          </w:p>
        </w:tc>
        <w:tc>
          <w:tcPr>
            <w:tcW w:w="578" w:type="pct"/>
            <w:shd w:val="clear" w:color="auto" w:fill="auto"/>
            <w:noWrap/>
            <w:vAlign w:val="bottom"/>
          </w:tcPr>
          <w:p w14:paraId="53555826"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0,9%</w:t>
            </w:r>
          </w:p>
        </w:tc>
        <w:tc>
          <w:tcPr>
            <w:tcW w:w="625" w:type="pct"/>
            <w:shd w:val="clear" w:color="auto" w:fill="auto"/>
            <w:noWrap/>
            <w:vAlign w:val="bottom"/>
          </w:tcPr>
          <w:p w14:paraId="0C2382AC"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1,7%</w:t>
            </w:r>
          </w:p>
        </w:tc>
        <w:tc>
          <w:tcPr>
            <w:tcW w:w="808" w:type="pct"/>
            <w:shd w:val="clear" w:color="auto" w:fill="auto"/>
            <w:noWrap/>
            <w:vAlign w:val="bottom"/>
          </w:tcPr>
          <w:p w14:paraId="4958C44B"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bCs/>
                <w:color w:val="333333"/>
                <w:sz w:val="20"/>
                <w:szCs w:val="20"/>
                <w:lang w:val="lt-LT"/>
              </w:rPr>
              <w:t>2,5</w:t>
            </w:r>
          </w:p>
        </w:tc>
        <w:tc>
          <w:tcPr>
            <w:tcW w:w="736" w:type="pct"/>
          </w:tcPr>
          <w:p w14:paraId="6D6F59D8"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bCs/>
                <w:color w:val="333333"/>
                <w:sz w:val="20"/>
                <w:szCs w:val="20"/>
                <w:lang w:val="lt-LT"/>
              </w:rPr>
              <w:t>2,3</w:t>
            </w:r>
          </w:p>
        </w:tc>
        <w:tc>
          <w:tcPr>
            <w:tcW w:w="516" w:type="pct"/>
            <w:vAlign w:val="bottom"/>
          </w:tcPr>
          <w:p w14:paraId="63D6A32F"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color w:val="000000"/>
                <w:sz w:val="20"/>
                <w:szCs w:val="20"/>
                <w:lang w:val="lt-LT"/>
              </w:rPr>
              <w:t>0,2</w:t>
            </w:r>
          </w:p>
        </w:tc>
        <w:tc>
          <w:tcPr>
            <w:tcW w:w="512" w:type="pct"/>
            <w:vAlign w:val="bottom"/>
          </w:tcPr>
          <w:p w14:paraId="3C3F3BAF"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rPr>
            </w:pPr>
            <w:r w:rsidRPr="00F17ECC">
              <w:rPr>
                <w:rFonts w:ascii="Trebuchet MS" w:hAnsi="Trebuchet MS"/>
                <w:color w:val="000000"/>
                <w:sz w:val="20"/>
                <w:szCs w:val="20"/>
                <w:lang w:val="lt-LT"/>
              </w:rPr>
              <w:t>10%</w:t>
            </w:r>
          </w:p>
        </w:tc>
      </w:tr>
      <w:tr w:rsidR="00713750" w:rsidRPr="00F17ECC" w14:paraId="40004691" w14:textId="77777777" w:rsidTr="0028727E">
        <w:trPr>
          <w:trHeight w:val="255"/>
        </w:trPr>
        <w:tc>
          <w:tcPr>
            <w:tcW w:w="646" w:type="pct"/>
            <w:shd w:val="clear" w:color="auto" w:fill="auto"/>
            <w:noWrap/>
            <w:vAlign w:val="bottom"/>
          </w:tcPr>
          <w:p w14:paraId="45329B3E" w14:textId="77777777" w:rsidR="00713750" w:rsidRPr="00F17ECC" w:rsidRDefault="00713750" w:rsidP="00E719CE">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Įmonė 3</w:t>
            </w:r>
          </w:p>
        </w:tc>
        <w:tc>
          <w:tcPr>
            <w:tcW w:w="578" w:type="pct"/>
            <w:shd w:val="clear" w:color="auto" w:fill="auto"/>
            <w:noWrap/>
            <w:vAlign w:val="bottom"/>
          </w:tcPr>
          <w:p w14:paraId="417A6D25"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5,1%</w:t>
            </w:r>
          </w:p>
        </w:tc>
        <w:tc>
          <w:tcPr>
            <w:tcW w:w="578" w:type="pct"/>
            <w:shd w:val="clear" w:color="auto" w:fill="auto"/>
            <w:noWrap/>
            <w:vAlign w:val="bottom"/>
          </w:tcPr>
          <w:p w14:paraId="10B9F332"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4,7%</w:t>
            </w:r>
          </w:p>
        </w:tc>
        <w:tc>
          <w:tcPr>
            <w:tcW w:w="625" w:type="pct"/>
            <w:shd w:val="clear" w:color="auto" w:fill="auto"/>
            <w:noWrap/>
            <w:vAlign w:val="bottom"/>
          </w:tcPr>
          <w:p w14:paraId="48B374F8"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eastAsia="en-US"/>
              </w:rPr>
            </w:pPr>
            <w:r w:rsidRPr="00F17ECC">
              <w:rPr>
                <w:rFonts w:ascii="Trebuchet MS" w:hAnsi="Trebuchet MS"/>
                <w:color w:val="000000"/>
                <w:sz w:val="20"/>
                <w:szCs w:val="20"/>
                <w:lang w:val="lt-LT"/>
              </w:rPr>
              <w:t>-2,5%</w:t>
            </w:r>
          </w:p>
        </w:tc>
        <w:tc>
          <w:tcPr>
            <w:tcW w:w="808" w:type="pct"/>
            <w:shd w:val="clear" w:color="auto" w:fill="auto"/>
            <w:noWrap/>
            <w:vAlign w:val="bottom"/>
          </w:tcPr>
          <w:p w14:paraId="279B2397"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bCs/>
                <w:color w:val="333333"/>
                <w:sz w:val="20"/>
                <w:szCs w:val="20"/>
                <w:lang w:val="lt-LT"/>
              </w:rPr>
              <w:t>2,5</w:t>
            </w:r>
          </w:p>
        </w:tc>
        <w:tc>
          <w:tcPr>
            <w:tcW w:w="736" w:type="pct"/>
          </w:tcPr>
          <w:p w14:paraId="05B11500"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bCs/>
                <w:color w:val="333333"/>
                <w:sz w:val="20"/>
                <w:szCs w:val="20"/>
                <w:lang w:val="lt-LT"/>
              </w:rPr>
              <w:t>1,3</w:t>
            </w:r>
          </w:p>
        </w:tc>
        <w:tc>
          <w:tcPr>
            <w:tcW w:w="516" w:type="pct"/>
            <w:vAlign w:val="bottom"/>
          </w:tcPr>
          <w:p w14:paraId="757F5CDD" w14:textId="77777777" w:rsidR="00713750" w:rsidRPr="00F17ECC" w:rsidRDefault="00713750" w:rsidP="00E719CE">
            <w:pPr>
              <w:autoSpaceDE w:val="0"/>
              <w:autoSpaceDN w:val="0"/>
              <w:adjustRightInd w:val="0"/>
              <w:spacing w:after="0"/>
              <w:jc w:val="center"/>
              <w:rPr>
                <w:rFonts w:ascii="Trebuchet MS" w:hAnsi="Trebuchet MS"/>
                <w:bCs/>
                <w:color w:val="333333"/>
                <w:sz w:val="20"/>
                <w:szCs w:val="20"/>
                <w:lang w:val="lt-LT"/>
              </w:rPr>
            </w:pPr>
            <w:r w:rsidRPr="00F17ECC">
              <w:rPr>
                <w:rFonts w:ascii="Trebuchet MS" w:hAnsi="Trebuchet MS"/>
                <w:color w:val="000000"/>
                <w:sz w:val="20"/>
                <w:szCs w:val="20"/>
                <w:lang w:val="lt-LT"/>
              </w:rPr>
              <w:t>1,2</w:t>
            </w:r>
          </w:p>
        </w:tc>
        <w:tc>
          <w:tcPr>
            <w:tcW w:w="512" w:type="pct"/>
            <w:vAlign w:val="bottom"/>
          </w:tcPr>
          <w:p w14:paraId="321A8F82" w14:textId="77777777" w:rsidR="00713750" w:rsidRPr="00F17ECC" w:rsidRDefault="00713750" w:rsidP="00E719CE">
            <w:pPr>
              <w:autoSpaceDE w:val="0"/>
              <w:autoSpaceDN w:val="0"/>
              <w:adjustRightInd w:val="0"/>
              <w:spacing w:after="0"/>
              <w:jc w:val="center"/>
              <w:rPr>
                <w:rFonts w:ascii="Trebuchet MS" w:hAnsi="Trebuchet MS"/>
                <w:color w:val="000000"/>
                <w:sz w:val="20"/>
                <w:szCs w:val="20"/>
                <w:lang w:val="lt-LT"/>
              </w:rPr>
            </w:pPr>
            <w:r w:rsidRPr="00F17ECC">
              <w:rPr>
                <w:rFonts w:ascii="Trebuchet MS" w:hAnsi="Trebuchet MS"/>
                <w:color w:val="000000"/>
                <w:sz w:val="20"/>
                <w:szCs w:val="20"/>
                <w:lang w:val="lt-LT"/>
              </w:rPr>
              <w:t>88%</w:t>
            </w:r>
          </w:p>
        </w:tc>
      </w:tr>
    </w:tbl>
    <w:p w14:paraId="65A0086F" w14:textId="77777777" w:rsidR="00713750" w:rsidRPr="00F17ECC" w:rsidRDefault="00713750" w:rsidP="00713750">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 Apskaičiuojamas taip: (2), (3), (4) laukelių suma padalinta iš 3.</w:t>
      </w:r>
    </w:p>
    <w:p w14:paraId="47706968" w14:textId="77777777" w:rsidR="00713750" w:rsidRPr="00F17ECC" w:rsidRDefault="00713750" w:rsidP="00713750">
      <w:pPr>
        <w:autoSpaceDE w:val="0"/>
        <w:autoSpaceDN w:val="0"/>
        <w:adjustRightInd w:val="0"/>
        <w:spacing w:after="0"/>
        <w:jc w:val="both"/>
        <w:rPr>
          <w:rFonts w:ascii="Trebuchet MS" w:hAnsi="Trebuchet MS"/>
          <w:color w:val="000000"/>
          <w:sz w:val="20"/>
          <w:szCs w:val="20"/>
          <w:lang w:val="lt-LT" w:eastAsia="en-US"/>
        </w:rPr>
      </w:pPr>
      <w:r w:rsidRPr="00F17ECC">
        <w:rPr>
          <w:rFonts w:ascii="Trebuchet MS" w:hAnsi="Trebuchet MS"/>
          <w:color w:val="000000"/>
          <w:sz w:val="20"/>
          <w:szCs w:val="20"/>
          <w:lang w:val="lt-LT" w:eastAsia="en-US"/>
        </w:rPr>
        <w:t>** Apskaičiuojamas taip: 2 lentelės (5), (6), (7) laukelių suma padalinta iš 2 lentelės (2), (3), (4) laukelių sumos.</w:t>
      </w:r>
    </w:p>
    <w:p w14:paraId="3E88A7E1" w14:textId="1C50FF4C" w:rsidR="00713750" w:rsidRPr="00F17ECC" w:rsidRDefault="00713750" w:rsidP="00713750">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Kaip matyti iš 3 lentelės duomenų, svertinių vidurkių reikšmės reikšmingai skiriasi nuo paprastojo vidurkio reikšmių (iki 88 proc.). Tokiu atveju ištiestosios rankos intervalo sudarymui  naudo</w:t>
      </w:r>
      <w:r w:rsidR="004315BD">
        <w:rPr>
          <w:rFonts w:ascii="Trebuchet MS" w:hAnsi="Trebuchet MS"/>
          <w:color w:val="000000"/>
          <w:szCs w:val="22"/>
          <w:lang w:val="lt-LT" w:eastAsia="en-US"/>
        </w:rPr>
        <w:t>tinas</w:t>
      </w:r>
      <w:r w:rsidRPr="00F17ECC">
        <w:rPr>
          <w:rFonts w:ascii="Trebuchet MS" w:hAnsi="Trebuchet MS"/>
          <w:color w:val="000000"/>
          <w:szCs w:val="22"/>
          <w:lang w:val="lt-LT" w:eastAsia="en-US"/>
        </w:rPr>
        <w:t xml:space="preserve"> paprastasis vidurkis. Taigi ištiestosios rankos intervalas sudar</w:t>
      </w:r>
      <w:r w:rsidR="00EF1C6B">
        <w:rPr>
          <w:rFonts w:ascii="Trebuchet MS" w:hAnsi="Trebuchet MS"/>
          <w:color w:val="000000"/>
          <w:szCs w:val="22"/>
          <w:lang w:val="lt-LT" w:eastAsia="en-US"/>
        </w:rPr>
        <w:t>ytų</w:t>
      </w:r>
      <w:r w:rsidRPr="00F17ECC">
        <w:rPr>
          <w:rFonts w:ascii="Trebuchet MS" w:hAnsi="Trebuchet MS"/>
          <w:color w:val="000000"/>
          <w:szCs w:val="22"/>
          <w:lang w:val="lt-LT" w:eastAsia="en-US"/>
        </w:rPr>
        <w:t xml:space="preserve"> nuo 2,5% iki 6,9%. Kvartilių metodas netaikomas dėl mažo palyginimų skaičiaus ir homogeniško intervalo (siauros rodiklių aibės).</w:t>
      </w:r>
    </w:p>
    <w:p w14:paraId="1B9D2833" w14:textId="77777777" w:rsidR="00713750" w:rsidRPr="00F17ECC" w:rsidRDefault="00713750" w:rsidP="00713750">
      <w:pPr>
        <w:autoSpaceDE w:val="0"/>
        <w:autoSpaceDN w:val="0"/>
        <w:adjustRightInd w:val="0"/>
        <w:spacing w:after="0"/>
        <w:ind w:firstLine="720"/>
        <w:jc w:val="both"/>
        <w:rPr>
          <w:rFonts w:ascii="Trebuchet MS" w:hAnsi="Trebuchet MS"/>
          <w:lang w:val="lt-LT"/>
        </w:rPr>
      </w:pPr>
    </w:p>
    <w:p w14:paraId="7035A90C" w14:textId="527408DE" w:rsidR="007453CD" w:rsidRPr="00F17ECC" w:rsidRDefault="007453CD" w:rsidP="00C9122C">
      <w:pPr>
        <w:autoSpaceDE w:val="0"/>
        <w:autoSpaceDN w:val="0"/>
        <w:adjustRightInd w:val="0"/>
        <w:spacing w:after="0"/>
        <w:ind w:firstLine="720"/>
        <w:jc w:val="both"/>
        <w:rPr>
          <w:rFonts w:ascii="Trebuchet MS" w:hAnsi="Trebuchet MS"/>
          <w:lang w:val="lt-LT"/>
        </w:rPr>
      </w:pPr>
      <w:r w:rsidRPr="00F17ECC">
        <w:rPr>
          <w:rFonts w:ascii="Trebuchet MS" w:hAnsi="Trebuchet MS"/>
          <w:lang w:val="lt-LT"/>
        </w:rPr>
        <w:t xml:space="preserve">Praktikoje mokesčių administratorius nerekomenduoja naudoti kaupiamojo vidurkio (angl. </w:t>
      </w:r>
      <w:proofErr w:type="spellStart"/>
      <w:r w:rsidRPr="00F17ECC">
        <w:rPr>
          <w:rFonts w:ascii="Trebuchet MS" w:hAnsi="Trebuchet MS"/>
          <w:i/>
          <w:lang w:val="lt-LT"/>
        </w:rPr>
        <w:t>pooling</w:t>
      </w:r>
      <w:proofErr w:type="spellEnd"/>
      <w:r w:rsidRPr="00F17ECC">
        <w:rPr>
          <w:rFonts w:ascii="Trebuchet MS" w:hAnsi="Trebuchet MS"/>
          <w:lang w:val="lt-LT"/>
        </w:rPr>
        <w:t xml:space="preserve">) metodo, nes naudojant šį metodą skirtingų pavienių metų reikšmės gauna analogišką svorį, nors reprezentuoja skirtingą laikotarpį ir jam būdingą rinkos situaciją, todėl galimos situacijos, kai pasirenkami rodikliai esant dideliam laiko atotrūkiui nuo kontroliuojamųjų sandorių vykdymo laiko; jį taikant, reikšmingesniais palyginimais tampa tos įmonės, kurių atžvilgiu yra gaunama daugiau duomenų ir tai visiškai nepriklauso nuo to, ar šios įmonės laikomos patikimesniais palyginimais. Be to, šio metodo nerekomenduoja taikyti ir </w:t>
      </w:r>
      <w:r w:rsidRPr="004315BD">
        <w:rPr>
          <w:rFonts w:ascii="Trebuchet MS" w:hAnsi="Trebuchet MS"/>
          <w:lang w:val="lt-LT"/>
        </w:rPr>
        <w:t>EBPO</w:t>
      </w:r>
      <w:r w:rsidRPr="00F17ECC">
        <w:rPr>
          <w:rFonts w:ascii="Trebuchet MS" w:hAnsi="Trebuchet MS"/>
          <w:lang w:val="lt-LT"/>
        </w:rPr>
        <w:t xml:space="preserve">. </w:t>
      </w:r>
    </w:p>
    <w:p w14:paraId="55A31670" w14:textId="77777777"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p>
    <w:p w14:paraId="6CA0A1DF" w14:textId="2FA78604" w:rsidR="007453CD" w:rsidRPr="00F17ECC" w:rsidRDefault="00321FE6" w:rsidP="00C9122C">
      <w:pPr>
        <w:autoSpaceDE w:val="0"/>
        <w:autoSpaceDN w:val="0"/>
        <w:adjustRightInd w:val="0"/>
        <w:spacing w:after="0"/>
        <w:ind w:firstLine="720"/>
        <w:jc w:val="both"/>
        <w:rPr>
          <w:rFonts w:ascii="Trebuchet MS" w:hAnsi="Trebuchet MS"/>
          <w:b/>
          <w:color w:val="000000"/>
          <w:szCs w:val="22"/>
          <w:lang w:val="lt-LT" w:eastAsia="en-US"/>
        </w:rPr>
      </w:pPr>
      <w:r w:rsidRPr="00F17ECC">
        <w:rPr>
          <w:rFonts w:ascii="Trebuchet MS" w:hAnsi="Trebuchet MS"/>
          <w:b/>
          <w:color w:val="000000"/>
          <w:szCs w:val="22"/>
          <w:lang w:val="lt-LT" w:eastAsia="en-US"/>
        </w:rPr>
        <w:t>1</w:t>
      </w:r>
      <w:r w:rsidR="00412C3E">
        <w:rPr>
          <w:rFonts w:ascii="Trebuchet MS" w:hAnsi="Trebuchet MS"/>
          <w:b/>
          <w:color w:val="000000"/>
          <w:szCs w:val="22"/>
          <w:lang w:val="lt-LT" w:eastAsia="en-US"/>
        </w:rPr>
        <w:t>2</w:t>
      </w:r>
      <w:r w:rsidR="007453CD" w:rsidRPr="00F17ECC">
        <w:rPr>
          <w:rFonts w:ascii="Trebuchet MS" w:hAnsi="Trebuchet MS"/>
          <w:b/>
          <w:color w:val="000000"/>
          <w:szCs w:val="22"/>
          <w:lang w:val="lt-LT" w:eastAsia="en-US"/>
        </w:rPr>
        <w:t>. Koks turi būti ištiestosios rankos intervalas?</w:t>
      </w:r>
    </w:p>
    <w:p w14:paraId="76962229" w14:textId="77777777" w:rsidR="00F17ECC" w:rsidRPr="00F17ECC" w:rsidRDefault="007453CD" w:rsidP="00F17EC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Siekiant aibę laikyti ištiestosios rankos intervalu, </w:t>
      </w:r>
      <w:r w:rsidR="0000287C" w:rsidRPr="00F17ECC">
        <w:rPr>
          <w:rFonts w:ascii="Trebuchet MS" w:hAnsi="Trebuchet MS"/>
          <w:color w:val="000000"/>
          <w:szCs w:val="22"/>
          <w:lang w:val="lt-LT" w:eastAsia="en-US"/>
        </w:rPr>
        <w:t xml:space="preserve">ji turi būti </w:t>
      </w:r>
      <w:r w:rsidR="00F17ECC" w:rsidRPr="00F17ECC">
        <w:rPr>
          <w:rFonts w:ascii="Trebuchet MS" w:hAnsi="Trebuchet MS"/>
          <w:color w:val="000000"/>
          <w:szCs w:val="22"/>
          <w:lang w:val="lt-LT" w:eastAsia="en-US"/>
        </w:rPr>
        <w:t xml:space="preserve">homogeniška, t. y. sudaryta iš </w:t>
      </w:r>
      <w:r w:rsidRPr="00F17ECC">
        <w:rPr>
          <w:rFonts w:ascii="Trebuchet MS" w:hAnsi="Trebuchet MS"/>
          <w:color w:val="000000"/>
          <w:szCs w:val="22"/>
          <w:lang w:val="lt-LT" w:eastAsia="en-US"/>
        </w:rPr>
        <w:t>vienodai patikim</w:t>
      </w:r>
      <w:r w:rsidR="00F17ECC" w:rsidRPr="00F17ECC">
        <w:rPr>
          <w:rFonts w:ascii="Trebuchet MS" w:hAnsi="Trebuchet MS"/>
          <w:color w:val="000000"/>
          <w:szCs w:val="22"/>
          <w:lang w:val="lt-LT" w:eastAsia="en-US"/>
        </w:rPr>
        <w:t>ų</w:t>
      </w:r>
      <w:r w:rsidRPr="00F17ECC">
        <w:rPr>
          <w:rFonts w:ascii="Trebuchet MS" w:hAnsi="Trebuchet MS"/>
          <w:color w:val="000000"/>
          <w:szCs w:val="22"/>
          <w:lang w:val="lt-LT" w:eastAsia="en-US"/>
        </w:rPr>
        <w:t xml:space="preserve"> palyginam</w:t>
      </w:r>
      <w:r w:rsidR="00F17ECC" w:rsidRPr="00F17ECC">
        <w:rPr>
          <w:rFonts w:ascii="Trebuchet MS" w:hAnsi="Trebuchet MS"/>
          <w:color w:val="000000"/>
          <w:szCs w:val="22"/>
          <w:lang w:val="lt-LT" w:eastAsia="en-US"/>
        </w:rPr>
        <w:t>ųjų</w:t>
      </w:r>
      <w:r w:rsidRPr="00F17ECC">
        <w:rPr>
          <w:rFonts w:ascii="Trebuchet MS" w:hAnsi="Trebuchet MS"/>
          <w:color w:val="000000"/>
          <w:szCs w:val="22"/>
          <w:lang w:val="lt-LT" w:eastAsia="en-US"/>
        </w:rPr>
        <w:t xml:space="preserve"> sandori</w:t>
      </w:r>
      <w:r w:rsidR="00F17ECC" w:rsidRPr="00F17ECC">
        <w:rPr>
          <w:rFonts w:ascii="Trebuchet MS" w:hAnsi="Trebuchet MS"/>
          <w:color w:val="000000"/>
          <w:szCs w:val="22"/>
          <w:lang w:val="lt-LT" w:eastAsia="en-US"/>
        </w:rPr>
        <w:t>ų, ir ganėtinai siaura</w:t>
      </w:r>
      <w:r w:rsidRPr="00F17ECC">
        <w:rPr>
          <w:rFonts w:ascii="Trebuchet MS" w:hAnsi="Trebuchet MS"/>
          <w:color w:val="000000"/>
          <w:szCs w:val="22"/>
          <w:lang w:val="lt-LT" w:eastAsia="en-US"/>
        </w:rPr>
        <w:t>.</w:t>
      </w:r>
      <w:r w:rsidR="00F17ECC" w:rsidRPr="00F17ECC">
        <w:rPr>
          <w:rFonts w:ascii="Trebuchet MS" w:hAnsi="Trebuchet MS"/>
          <w:color w:val="000000"/>
          <w:szCs w:val="22"/>
          <w:lang w:val="lt-LT" w:eastAsia="en-US"/>
        </w:rPr>
        <w:t xml:space="preserve"> </w:t>
      </w:r>
    </w:p>
    <w:p w14:paraId="557A22A1" w14:textId="26ED2AAC" w:rsidR="00F17ECC" w:rsidRPr="00F17ECC" w:rsidRDefault="00F17ECC" w:rsidP="00F17EC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 xml:space="preserve">Jeigu ištiestosios rankos intervalo sudarymui bus naudojami nepalyginami duomenys (sandoriai), nustatytas intervalas nebus laikomas IRP atitinkančiu intervalu. Mokesčių mokėtojas, siekdamas įrodyti, kad sandorio kaina arba pelnas neišeina iš ištiestosios rankos intervalo ribų, privalo įrodyti, kad intervalas sudarytas naudojant vienodai patikimus palyginamuosius sandorius (Kainodaros taisyklių 55 p.). Palyginamųjų sandorių atrankos ir analizės metu nustačius, kad ne visi atrinkti palyginamieji sandoriai atitinka lyginimo kriterijus ir (arba) pasižymi kitomis savybėmis, kurios neleidžia pasiekti vienodai patikimų palyginimo veiksmų rezultatų, šie duomenys turi būti eliminuojami, taip užtikrinant ištiestosios rankos intervalo sudarymą naudojant vienodai patikimus palyginamuosius sandorius. </w:t>
      </w:r>
    </w:p>
    <w:p w14:paraId="75763522" w14:textId="0CBDA98D" w:rsidR="00F17ECC" w:rsidRPr="00F17ECC" w:rsidRDefault="00F17ECC" w:rsidP="00C9122C">
      <w:pPr>
        <w:autoSpaceDE w:val="0"/>
        <w:autoSpaceDN w:val="0"/>
        <w:adjustRightInd w:val="0"/>
        <w:spacing w:after="0"/>
        <w:ind w:firstLine="720"/>
        <w:jc w:val="both"/>
        <w:rPr>
          <w:rFonts w:ascii="Trebuchet MS" w:hAnsi="Trebuchet MS"/>
          <w:color w:val="000000"/>
          <w:szCs w:val="22"/>
          <w:lang w:val="lt-LT" w:eastAsia="en-US"/>
        </w:rPr>
      </w:pPr>
      <w:r w:rsidRPr="00F17ECC">
        <w:rPr>
          <w:rFonts w:ascii="Trebuchet MS" w:hAnsi="Trebuchet MS"/>
          <w:color w:val="000000"/>
          <w:szCs w:val="22"/>
          <w:lang w:val="lt-LT" w:eastAsia="en-US"/>
        </w:rPr>
        <w:t>Paprastai jeigu gaunamas itin platus intervalas</w:t>
      </w:r>
      <w:r>
        <w:rPr>
          <w:rFonts w:ascii="Trebuchet MS" w:hAnsi="Trebuchet MS"/>
          <w:color w:val="000000"/>
          <w:szCs w:val="22"/>
          <w:lang w:val="lt-LT" w:eastAsia="en-US"/>
        </w:rPr>
        <w:t xml:space="preserve"> (pavyzdžiui, veiklos pelningumo rodiklių aibė nuo 5 % iki 30 %)</w:t>
      </w:r>
      <w:r w:rsidRPr="00F17ECC">
        <w:rPr>
          <w:rFonts w:ascii="Trebuchet MS" w:hAnsi="Trebuchet MS"/>
          <w:color w:val="000000"/>
          <w:szCs w:val="22"/>
          <w:lang w:val="lt-LT" w:eastAsia="en-US"/>
        </w:rPr>
        <w:t>, tai rodo, jog parinkti palyginimai nėra vienodai patikimi</w:t>
      </w:r>
      <w:r>
        <w:rPr>
          <w:rFonts w:ascii="Trebuchet MS" w:hAnsi="Trebuchet MS"/>
          <w:color w:val="000000"/>
          <w:szCs w:val="22"/>
          <w:lang w:val="lt-LT" w:eastAsia="en-US"/>
        </w:rPr>
        <w:t xml:space="preserve"> ir todėl turi būti peržiūr</w:t>
      </w:r>
      <w:r w:rsidR="00373967">
        <w:rPr>
          <w:rFonts w:ascii="Trebuchet MS" w:hAnsi="Trebuchet MS"/>
          <w:color w:val="000000"/>
          <w:szCs w:val="22"/>
          <w:lang w:val="lt-LT" w:eastAsia="en-US"/>
        </w:rPr>
        <w:t>ėti</w:t>
      </w:r>
      <w:r w:rsidRPr="00F17ECC">
        <w:rPr>
          <w:rFonts w:ascii="Trebuchet MS" w:hAnsi="Trebuchet MS"/>
          <w:color w:val="000000"/>
          <w:szCs w:val="22"/>
          <w:lang w:val="lt-LT" w:eastAsia="en-US"/>
        </w:rPr>
        <w:t>.</w:t>
      </w:r>
    </w:p>
    <w:p w14:paraId="63BCD28D" w14:textId="77777777" w:rsidR="007453CD" w:rsidRPr="00F17ECC" w:rsidRDefault="007453CD" w:rsidP="00C9122C">
      <w:pPr>
        <w:autoSpaceDE w:val="0"/>
        <w:autoSpaceDN w:val="0"/>
        <w:adjustRightInd w:val="0"/>
        <w:spacing w:after="0"/>
        <w:ind w:firstLine="720"/>
        <w:jc w:val="both"/>
        <w:rPr>
          <w:rFonts w:ascii="Trebuchet MS" w:hAnsi="Trebuchet MS"/>
          <w:color w:val="000000"/>
          <w:szCs w:val="22"/>
          <w:lang w:val="lt-LT" w:eastAsia="en-US"/>
        </w:rPr>
      </w:pPr>
    </w:p>
    <w:p w14:paraId="5DE66A4D" w14:textId="60CC5F1D" w:rsidR="007453CD" w:rsidRPr="00F17ECC" w:rsidRDefault="00373967" w:rsidP="00C9122C">
      <w:pPr>
        <w:autoSpaceDE w:val="0"/>
        <w:autoSpaceDN w:val="0"/>
        <w:adjustRightInd w:val="0"/>
        <w:spacing w:after="0"/>
        <w:ind w:firstLine="720"/>
        <w:jc w:val="both"/>
        <w:rPr>
          <w:rFonts w:ascii="Trebuchet MS" w:hAnsi="Trebuchet MS"/>
          <w:b/>
          <w:strike/>
          <w:szCs w:val="22"/>
          <w:lang w:val="lt-LT"/>
        </w:rPr>
      </w:pPr>
      <w:r>
        <w:rPr>
          <w:rFonts w:ascii="Trebuchet MS" w:hAnsi="Trebuchet MS"/>
          <w:b/>
          <w:color w:val="000000"/>
          <w:szCs w:val="22"/>
          <w:lang w:val="lt-LT" w:eastAsia="en-US"/>
        </w:rPr>
        <w:t>1</w:t>
      </w:r>
      <w:r w:rsidR="00412C3E">
        <w:rPr>
          <w:rFonts w:ascii="Trebuchet MS" w:hAnsi="Trebuchet MS"/>
          <w:b/>
          <w:color w:val="000000"/>
          <w:szCs w:val="22"/>
          <w:lang w:val="lt-LT" w:eastAsia="en-US"/>
        </w:rPr>
        <w:t>3</w:t>
      </w:r>
      <w:r w:rsidR="007453CD" w:rsidRPr="00F17ECC">
        <w:rPr>
          <w:rFonts w:ascii="Trebuchet MS" w:hAnsi="Trebuchet MS"/>
          <w:b/>
          <w:color w:val="000000"/>
          <w:szCs w:val="22"/>
          <w:lang w:val="lt-LT" w:eastAsia="en-US"/>
        </w:rPr>
        <w:t xml:space="preserve">. Kada sudarant ištiestosios rankos intervalą taikomi statistiniai metodai? </w:t>
      </w:r>
    </w:p>
    <w:p w14:paraId="6B88E835" w14:textId="36C5775C" w:rsidR="007453CD" w:rsidRPr="00F17ECC" w:rsidRDefault="007453CD" w:rsidP="00C9122C">
      <w:pPr>
        <w:autoSpaceDE w:val="0"/>
        <w:autoSpaceDN w:val="0"/>
        <w:adjustRightInd w:val="0"/>
        <w:spacing w:after="0"/>
        <w:ind w:firstLine="720"/>
        <w:jc w:val="both"/>
        <w:rPr>
          <w:rFonts w:ascii="Trebuchet MS" w:hAnsi="Trebuchet MS"/>
          <w:lang w:val="lt-LT"/>
        </w:rPr>
      </w:pPr>
      <w:r w:rsidRPr="00F17ECC">
        <w:rPr>
          <w:rFonts w:ascii="Trebuchet MS" w:hAnsi="Trebuchet MS"/>
          <w:lang w:val="lt-LT"/>
        </w:rPr>
        <w:t>Kontroliuojamųjų sandorių kainodaros srityje pripažįstama, jog kraštutiniai ištiestosios rankos intervalo rezultatai gali būti netipiški, paveikti išskirtinių aplinkybių, kurių nustatyti</w:t>
      </w:r>
      <w:r w:rsidR="005F03FF">
        <w:rPr>
          <w:rFonts w:ascii="Trebuchet MS" w:hAnsi="Trebuchet MS"/>
          <w:lang w:val="lt-LT"/>
        </w:rPr>
        <w:t xml:space="preserve"> </w:t>
      </w:r>
      <w:r w:rsidRPr="00F17ECC">
        <w:rPr>
          <w:rFonts w:ascii="Trebuchet MS" w:hAnsi="Trebuchet MS"/>
          <w:lang w:val="lt-LT"/>
        </w:rPr>
        <w:t>/</w:t>
      </w:r>
      <w:r w:rsidR="005F03FF">
        <w:rPr>
          <w:rFonts w:ascii="Trebuchet MS" w:hAnsi="Trebuchet MS"/>
          <w:lang w:val="lt-LT"/>
        </w:rPr>
        <w:t xml:space="preserve"> </w:t>
      </w:r>
      <w:r w:rsidRPr="00F17ECC">
        <w:rPr>
          <w:rFonts w:ascii="Trebuchet MS" w:hAnsi="Trebuchet MS"/>
          <w:lang w:val="lt-LT"/>
        </w:rPr>
        <w:t xml:space="preserve">įvertinti nėra galimybės, ir todėl gali būti nepatikimi nustatant IRP atitinkančią kontroliuojamojo sandorio </w:t>
      </w:r>
      <w:r w:rsidRPr="0028727E">
        <w:rPr>
          <w:rFonts w:ascii="Trebuchet MS" w:hAnsi="Trebuchet MS"/>
          <w:lang w:val="lt-LT"/>
        </w:rPr>
        <w:t>kainą</w:t>
      </w:r>
      <w:r w:rsidR="00D01E48" w:rsidRPr="0028727E">
        <w:rPr>
          <w:rFonts w:ascii="Trebuchet MS" w:hAnsi="Trebuchet MS"/>
          <w:lang w:val="lt-LT"/>
        </w:rPr>
        <w:t xml:space="preserve"> (</w:t>
      </w:r>
      <w:r w:rsidR="0056598B" w:rsidRPr="0028727E">
        <w:rPr>
          <w:rFonts w:ascii="Trebuchet MS" w:hAnsi="Trebuchet MS"/>
          <w:lang w:val="lt-LT"/>
        </w:rPr>
        <w:t>K</w:t>
      </w:r>
      <w:r w:rsidR="00D01E48" w:rsidRPr="0028727E">
        <w:rPr>
          <w:rFonts w:ascii="Trebuchet MS" w:hAnsi="Trebuchet MS"/>
          <w:lang w:val="lt-LT"/>
        </w:rPr>
        <w:t>ainodaros taisyklių 54 p.)</w:t>
      </w:r>
      <w:r w:rsidRPr="0028727E">
        <w:rPr>
          <w:rFonts w:ascii="Trebuchet MS" w:hAnsi="Trebuchet MS"/>
          <w:lang w:val="lt-LT"/>
        </w:rPr>
        <w:t>. Taigi iš palyginamųjų duomenų reikšmių</w:t>
      </w:r>
      <w:r w:rsidR="005F03FF" w:rsidRPr="0028727E">
        <w:rPr>
          <w:rFonts w:ascii="Trebuchet MS" w:hAnsi="Trebuchet MS"/>
          <w:lang w:val="lt-LT"/>
        </w:rPr>
        <w:t xml:space="preserve"> sudarant ištiestosios rankos intervalą</w:t>
      </w:r>
      <w:r w:rsidRPr="0028727E">
        <w:rPr>
          <w:rFonts w:ascii="Trebuchet MS" w:hAnsi="Trebuchet MS"/>
          <w:lang w:val="lt-LT"/>
        </w:rPr>
        <w:t xml:space="preserve">, statistinių metodų taikymas rekomenduojamas, kuomet pagal </w:t>
      </w:r>
      <w:r w:rsidR="005F03FF" w:rsidRPr="0028727E">
        <w:rPr>
          <w:rFonts w:ascii="Trebuchet MS" w:hAnsi="Trebuchet MS"/>
          <w:lang w:val="lt-LT"/>
        </w:rPr>
        <w:t xml:space="preserve">atrinktų </w:t>
      </w:r>
      <w:r w:rsidRPr="0028727E">
        <w:rPr>
          <w:rFonts w:ascii="Trebuchet MS" w:hAnsi="Trebuchet MS"/>
          <w:lang w:val="lt-LT"/>
        </w:rPr>
        <w:t>palyginimų (</w:t>
      </w:r>
      <w:r w:rsidR="00FD25CA" w:rsidRPr="0028727E">
        <w:rPr>
          <w:rFonts w:ascii="Trebuchet MS" w:hAnsi="Trebuchet MS"/>
          <w:lang w:val="lt-LT"/>
        </w:rPr>
        <w:t xml:space="preserve">pavyzdžiui, </w:t>
      </w:r>
      <w:r w:rsidRPr="0028727E">
        <w:rPr>
          <w:rFonts w:ascii="Trebuchet MS" w:hAnsi="Trebuchet MS"/>
          <w:lang w:val="lt-LT"/>
        </w:rPr>
        <w:t xml:space="preserve">nuo keleto iki </w:t>
      </w:r>
      <w:r w:rsidR="00F97AA4" w:rsidRPr="0028727E">
        <w:rPr>
          <w:rFonts w:ascii="Trebuchet MS" w:hAnsi="Trebuchet MS"/>
          <w:lang w:val="lt-LT"/>
        </w:rPr>
        <w:t>keliasdešimties</w:t>
      </w:r>
      <w:r w:rsidR="00F97AA4" w:rsidRPr="0028727E">
        <w:rPr>
          <w:rStyle w:val="Puslapioinaosnuoroda"/>
          <w:rFonts w:ascii="Trebuchet MS" w:hAnsi="Trebuchet MS"/>
          <w:lang w:val="lt-LT"/>
        </w:rPr>
        <w:footnoteReference w:id="6"/>
      </w:r>
      <w:r w:rsidRPr="0028727E">
        <w:rPr>
          <w:rFonts w:ascii="Trebuchet MS" w:hAnsi="Trebuchet MS"/>
          <w:lang w:val="lt-LT"/>
        </w:rPr>
        <w:t>) rodiklius</w:t>
      </w:r>
      <w:r w:rsidRPr="00F17ECC">
        <w:rPr>
          <w:rFonts w:ascii="Trebuchet MS" w:hAnsi="Trebuchet MS"/>
          <w:lang w:val="lt-LT"/>
        </w:rPr>
        <w:t xml:space="preserve"> apskaičiuota aibė yra gana plati ir, įvertinus turimą informaciją apie palyginimus, nėra galimybių atlikti </w:t>
      </w:r>
      <w:r w:rsidRPr="00F17ECC">
        <w:rPr>
          <w:rFonts w:ascii="Trebuchet MS" w:hAnsi="Trebuchet MS"/>
          <w:lang w:val="lt-LT"/>
        </w:rPr>
        <w:lastRenderedPageBreak/>
        <w:t xml:space="preserve">individualizuotus galimų skirtumų koregavimus, užtikrinančius didesnį palyginimų rodiklių palyginamumą su vertinamuoju sandoriu. </w:t>
      </w:r>
    </w:p>
    <w:p w14:paraId="24F8C9D7" w14:textId="5336338C" w:rsidR="007453CD" w:rsidRDefault="007453CD" w:rsidP="00C9122C">
      <w:pPr>
        <w:pStyle w:val="Default"/>
        <w:jc w:val="both"/>
        <w:rPr>
          <w:color w:val="auto"/>
          <w:sz w:val="22"/>
          <w:szCs w:val="22"/>
        </w:rPr>
      </w:pPr>
    </w:p>
    <w:p w14:paraId="56B0F630" w14:textId="7F9B1A78" w:rsidR="00D945A3" w:rsidRPr="00F17ECC" w:rsidRDefault="00D945A3" w:rsidP="00D945A3">
      <w:pPr>
        <w:autoSpaceDE w:val="0"/>
        <w:autoSpaceDN w:val="0"/>
        <w:adjustRightInd w:val="0"/>
        <w:spacing w:after="0"/>
        <w:ind w:firstLine="720"/>
        <w:jc w:val="both"/>
        <w:rPr>
          <w:rFonts w:ascii="Trebuchet MS" w:hAnsi="Trebuchet MS"/>
          <w:b/>
          <w:lang w:val="lt-LT"/>
        </w:rPr>
      </w:pPr>
      <w:r w:rsidRPr="00F17ECC">
        <w:rPr>
          <w:rFonts w:ascii="Trebuchet MS" w:hAnsi="Trebuchet MS"/>
          <w:b/>
          <w:lang w:val="lt-LT"/>
        </w:rPr>
        <w:t>1</w:t>
      </w:r>
      <w:r w:rsidR="00412C3E">
        <w:rPr>
          <w:rFonts w:ascii="Trebuchet MS" w:hAnsi="Trebuchet MS"/>
          <w:b/>
          <w:lang w:val="lt-LT"/>
        </w:rPr>
        <w:t>4</w:t>
      </w:r>
      <w:r w:rsidRPr="00F17ECC">
        <w:rPr>
          <w:rFonts w:ascii="Trebuchet MS" w:hAnsi="Trebuchet MS"/>
          <w:b/>
          <w:lang w:val="lt-LT"/>
        </w:rPr>
        <w:t>. Koks yra minimalus ir maksimalus palyginimų skaičius, kuriam gali būti taikomi statistiniai metodai?</w:t>
      </w:r>
    </w:p>
    <w:p w14:paraId="77381DF1" w14:textId="5641EE43" w:rsidR="00730F7B" w:rsidRPr="00730F7B" w:rsidRDefault="00D945A3" w:rsidP="00730F7B">
      <w:pPr>
        <w:pStyle w:val="Default"/>
        <w:ind w:firstLine="720"/>
        <w:jc w:val="both"/>
        <w:rPr>
          <w:rFonts w:ascii="Trebuchet MS" w:hAnsi="Trebuchet MS"/>
          <w:color w:val="auto"/>
          <w:sz w:val="22"/>
          <w:szCs w:val="22"/>
        </w:rPr>
      </w:pPr>
      <w:r w:rsidRPr="00730F7B">
        <w:rPr>
          <w:rFonts w:ascii="Trebuchet MS" w:hAnsi="Trebuchet MS"/>
          <w:sz w:val="22"/>
          <w:szCs w:val="22"/>
        </w:rPr>
        <w:t xml:space="preserve">Teisės aktuose ar </w:t>
      </w:r>
      <w:r w:rsidR="00385146" w:rsidRPr="00730F7B">
        <w:rPr>
          <w:rFonts w:ascii="Trebuchet MS" w:hAnsi="Trebuchet MS"/>
          <w:sz w:val="22"/>
          <w:szCs w:val="22"/>
        </w:rPr>
        <w:t>rekomendacijose</w:t>
      </w:r>
      <w:r w:rsidR="00385146" w:rsidRPr="00730F7B">
        <w:rPr>
          <w:rStyle w:val="Puslapioinaosnuoroda"/>
          <w:rFonts w:ascii="Trebuchet MS" w:hAnsi="Trebuchet MS"/>
          <w:sz w:val="22"/>
          <w:szCs w:val="22"/>
        </w:rPr>
        <w:footnoteReference w:id="7"/>
      </w:r>
      <w:r w:rsidR="006B5D7E">
        <w:rPr>
          <w:rFonts w:ascii="Trebuchet MS" w:hAnsi="Trebuchet MS"/>
          <w:sz w:val="22"/>
          <w:szCs w:val="22"/>
        </w:rPr>
        <w:t xml:space="preserve"> </w:t>
      </w:r>
      <w:r w:rsidRPr="00730F7B">
        <w:rPr>
          <w:rFonts w:ascii="Trebuchet MS" w:hAnsi="Trebuchet MS"/>
          <w:sz w:val="22"/>
          <w:szCs w:val="22"/>
        </w:rPr>
        <w:t>nėra apibrėžtas nei minimalus, nei maksimalus skaičius, kuriam esant tikslinga taikyti statistinius aibės siaurinimo metodus</w:t>
      </w:r>
      <w:r w:rsidR="00730F7B">
        <w:rPr>
          <w:rFonts w:ascii="Trebuchet MS" w:hAnsi="Trebuchet MS"/>
          <w:sz w:val="22"/>
          <w:szCs w:val="22"/>
        </w:rPr>
        <w:t>.</w:t>
      </w:r>
      <w:r w:rsidR="00730F7B" w:rsidRPr="00730F7B">
        <w:rPr>
          <w:rFonts w:ascii="Trebuchet MS" w:hAnsi="Trebuchet MS"/>
          <w:sz w:val="22"/>
          <w:szCs w:val="22"/>
        </w:rPr>
        <w:t xml:space="preserve"> Galimų palyginamųjų duomenų skaičius priklauso nuo daugelio vertinamųjų faktorių, </w:t>
      </w:r>
      <w:r w:rsidR="00014ED5">
        <w:rPr>
          <w:rFonts w:ascii="Trebuchet MS" w:hAnsi="Trebuchet MS"/>
          <w:sz w:val="22"/>
          <w:szCs w:val="22"/>
        </w:rPr>
        <w:t xml:space="preserve">tokių </w:t>
      </w:r>
      <w:r w:rsidR="00730F7B" w:rsidRPr="00730F7B">
        <w:rPr>
          <w:rFonts w:ascii="Trebuchet MS" w:hAnsi="Trebuchet MS"/>
          <w:sz w:val="22"/>
          <w:szCs w:val="22"/>
        </w:rPr>
        <w:t>kaip kontroliuojamųjų sandorių sudėtingum</w:t>
      </w:r>
      <w:r w:rsidR="00014ED5">
        <w:rPr>
          <w:rFonts w:ascii="Trebuchet MS" w:hAnsi="Trebuchet MS"/>
          <w:sz w:val="22"/>
          <w:szCs w:val="22"/>
        </w:rPr>
        <w:t>as</w:t>
      </w:r>
      <w:r w:rsidR="00730F7B" w:rsidRPr="00730F7B">
        <w:rPr>
          <w:rFonts w:ascii="Trebuchet MS" w:hAnsi="Trebuchet MS"/>
          <w:sz w:val="22"/>
          <w:szCs w:val="22"/>
        </w:rPr>
        <w:t>, rūšis, taikyt</w:t>
      </w:r>
      <w:r w:rsidR="00014ED5">
        <w:rPr>
          <w:rFonts w:ascii="Trebuchet MS" w:hAnsi="Trebuchet MS"/>
          <w:sz w:val="22"/>
          <w:szCs w:val="22"/>
        </w:rPr>
        <w:t>as</w:t>
      </w:r>
      <w:r w:rsidR="00730F7B" w:rsidRPr="00730F7B">
        <w:rPr>
          <w:rFonts w:ascii="Trebuchet MS" w:hAnsi="Trebuchet MS"/>
          <w:sz w:val="22"/>
          <w:szCs w:val="22"/>
        </w:rPr>
        <w:t xml:space="preserve"> kainodaros metod</w:t>
      </w:r>
      <w:r w:rsidR="00014ED5">
        <w:rPr>
          <w:rFonts w:ascii="Trebuchet MS" w:hAnsi="Trebuchet MS"/>
          <w:sz w:val="22"/>
          <w:szCs w:val="22"/>
        </w:rPr>
        <w:t>as</w:t>
      </w:r>
      <w:r w:rsidR="00730F7B" w:rsidRPr="00730F7B">
        <w:rPr>
          <w:rFonts w:ascii="Trebuchet MS" w:hAnsi="Trebuchet MS"/>
          <w:sz w:val="22"/>
          <w:szCs w:val="22"/>
        </w:rPr>
        <w:t xml:space="preserve">, tikimybė rasti palyginamuosius sandorius ir pan., todėl kiekvienu konkrečiu atveju individualiai sprendžiama dėl palyginimų skaičiaus. </w:t>
      </w:r>
    </w:p>
    <w:p w14:paraId="18C64B41" w14:textId="5080CB4E" w:rsidR="00014ED5" w:rsidRDefault="00730F7B" w:rsidP="00E5761B">
      <w:pPr>
        <w:pStyle w:val="Default"/>
        <w:ind w:firstLine="720"/>
        <w:jc w:val="both"/>
        <w:rPr>
          <w:rFonts w:ascii="Trebuchet MS" w:hAnsi="Trebuchet MS"/>
          <w:sz w:val="22"/>
          <w:szCs w:val="22"/>
        </w:rPr>
      </w:pPr>
      <w:r>
        <w:rPr>
          <w:rFonts w:ascii="Trebuchet MS" w:hAnsi="Trebuchet MS"/>
          <w:sz w:val="22"/>
          <w:szCs w:val="22"/>
        </w:rPr>
        <w:t xml:space="preserve">Viena vertus, esant mažam palyginimų skaičiui (pvz., 3 </w:t>
      </w:r>
      <w:r w:rsidRPr="00E5761B">
        <w:rPr>
          <w:rFonts w:ascii="Trebuchet MS" w:hAnsi="Trebuchet MS"/>
          <w:sz w:val="22"/>
          <w:szCs w:val="22"/>
        </w:rPr>
        <w:t xml:space="preserve">reikšmėms), statistinių metodų taikymas </w:t>
      </w:r>
      <w:r w:rsidR="00AB183B">
        <w:rPr>
          <w:rFonts w:ascii="Trebuchet MS" w:hAnsi="Trebuchet MS"/>
          <w:sz w:val="22"/>
          <w:szCs w:val="22"/>
        </w:rPr>
        <w:t>nerekomenduotinas</w:t>
      </w:r>
      <w:r w:rsidRPr="00E5761B">
        <w:rPr>
          <w:rFonts w:ascii="Trebuchet MS" w:hAnsi="Trebuchet MS"/>
          <w:sz w:val="22"/>
          <w:szCs w:val="22"/>
        </w:rPr>
        <w:t>, tačiau kita vertus, nėra ir siūloma automatinės (kiekybinės) atrankos metu surasti kuo didesnio skaičiaus palyginimų, siekiant pritaikyti statistinius metodus</w:t>
      </w:r>
      <w:r w:rsidR="007723B5">
        <w:rPr>
          <w:rFonts w:ascii="Trebuchet MS" w:hAnsi="Trebuchet MS"/>
          <w:sz w:val="22"/>
          <w:szCs w:val="22"/>
        </w:rPr>
        <w:t>. Taigi</w:t>
      </w:r>
      <w:r w:rsidR="00014ED5">
        <w:rPr>
          <w:rFonts w:ascii="Trebuchet MS" w:hAnsi="Trebuchet MS"/>
          <w:sz w:val="22"/>
          <w:szCs w:val="22"/>
        </w:rPr>
        <w:t>:</w:t>
      </w:r>
    </w:p>
    <w:p w14:paraId="5042C76E" w14:textId="2923A79C" w:rsidR="00730F7B" w:rsidRPr="003E2E1F" w:rsidRDefault="00014ED5" w:rsidP="008507CC">
      <w:pPr>
        <w:pStyle w:val="Default"/>
        <w:ind w:firstLine="720"/>
        <w:jc w:val="both"/>
        <w:rPr>
          <w:rFonts w:ascii="Trebuchet MS" w:hAnsi="Trebuchet MS"/>
          <w:color w:val="auto"/>
          <w:sz w:val="22"/>
          <w:szCs w:val="22"/>
        </w:rPr>
      </w:pPr>
      <w:r>
        <w:rPr>
          <w:rFonts w:ascii="Trebuchet MS" w:hAnsi="Trebuchet MS"/>
          <w:color w:val="auto"/>
          <w:sz w:val="22"/>
          <w:szCs w:val="22"/>
        </w:rPr>
        <w:t>- paties statistinio metodo esmė yra jį taikyti didesnei reikšmių aibei. Be to, turint tik keletą palyginimų, kiekvienas iš jų gali būti maksimaliai detaliai įvertintas individualiai</w:t>
      </w:r>
      <w:r w:rsidR="008507CC">
        <w:rPr>
          <w:rFonts w:ascii="Trebuchet MS" w:hAnsi="Trebuchet MS"/>
          <w:color w:val="auto"/>
          <w:sz w:val="22"/>
          <w:szCs w:val="22"/>
        </w:rPr>
        <w:t xml:space="preserve">, tokiu būdu reikšmingai sumažinant </w:t>
      </w:r>
      <w:r w:rsidR="003E2E1F">
        <w:rPr>
          <w:rFonts w:ascii="Trebuchet MS" w:hAnsi="Trebuchet MS"/>
          <w:color w:val="auto"/>
          <w:sz w:val="22"/>
          <w:szCs w:val="22"/>
        </w:rPr>
        <w:t xml:space="preserve">galimai išliekančių didesnio poveikio </w:t>
      </w:r>
      <w:r w:rsidR="008507CC">
        <w:rPr>
          <w:rFonts w:ascii="Trebuchet MS" w:hAnsi="Trebuchet MS"/>
          <w:color w:val="auto"/>
          <w:sz w:val="22"/>
          <w:szCs w:val="22"/>
        </w:rPr>
        <w:t>skirtumų riziką</w:t>
      </w:r>
      <w:r>
        <w:rPr>
          <w:rFonts w:ascii="Trebuchet MS" w:hAnsi="Trebuchet MS"/>
          <w:color w:val="auto"/>
          <w:sz w:val="22"/>
          <w:szCs w:val="22"/>
        </w:rPr>
        <w:t xml:space="preserve">. </w:t>
      </w:r>
      <w:r w:rsidR="008507CC">
        <w:rPr>
          <w:rFonts w:ascii="Trebuchet MS" w:hAnsi="Trebuchet MS"/>
          <w:color w:val="auto"/>
          <w:sz w:val="22"/>
          <w:szCs w:val="22"/>
        </w:rPr>
        <w:t>Be to, j</w:t>
      </w:r>
      <w:r>
        <w:rPr>
          <w:rFonts w:ascii="Trebuchet MS" w:hAnsi="Trebuchet MS"/>
          <w:color w:val="auto"/>
          <w:sz w:val="22"/>
          <w:szCs w:val="22"/>
        </w:rPr>
        <w:t xml:space="preserve">eigu </w:t>
      </w:r>
      <w:r w:rsidR="00730F7B" w:rsidRPr="00730F7B">
        <w:rPr>
          <w:rFonts w:ascii="Trebuchet MS" w:hAnsi="Trebuchet MS"/>
          <w:color w:val="auto"/>
          <w:sz w:val="22"/>
          <w:szCs w:val="22"/>
        </w:rPr>
        <w:t xml:space="preserve">atliekant paiešką, </w:t>
      </w:r>
      <w:r>
        <w:rPr>
          <w:rFonts w:ascii="Trebuchet MS" w:hAnsi="Trebuchet MS"/>
          <w:color w:val="auto"/>
          <w:sz w:val="22"/>
          <w:szCs w:val="22"/>
        </w:rPr>
        <w:t xml:space="preserve">būtų </w:t>
      </w:r>
      <w:r w:rsidR="00730F7B" w:rsidRPr="00730F7B">
        <w:rPr>
          <w:rFonts w:ascii="Trebuchet MS" w:hAnsi="Trebuchet MS"/>
          <w:color w:val="auto"/>
          <w:sz w:val="22"/>
          <w:szCs w:val="22"/>
        </w:rPr>
        <w:t xml:space="preserve">surasti tik keli palyginimai (pvz., 3), tačiau jų rodiklių aibė </w:t>
      </w:r>
      <w:r>
        <w:rPr>
          <w:rFonts w:ascii="Trebuchet MS" w:hAnsi="Trebuchet MS"/>
          <w:color w:val="auto"/>
          <w:sz w:val="22"/>
          <w:szCs w:val="22"/>
        </w:rPr>
        <w:t xml:space="preserve">būtų </w:t>
      </w:r>
      <w:r w:rsidR="00730F7B" w:rsidRPr="00730F7B">
        <w:rPr>
          <w:rFonts w:ascii="Trebuchet MS" w:hAnsi="Trebuchet MS"/>
          <w:color w:val="auto"/>
          <w:sz w:val="22"/>
          <w:szCs w:val="22"/>
        </w:rPr>
        <w:t>ganėtinai plati (pvz., nuo 5</w:t>
      </w:r>
      <w:r w:rsidR="008507CC">
        <w:rPr>
          <w:rFonts w:ascii="Trebuchet MS" w:hAnsi="Trebuchet MS"/>
          <w:color w:val="auto"/>
          <w:sz w:val="22"/>
          <w:szCs w:val="22"/>
        </w:rPr>
        <w:t xml:space="preserve"> %</w:t>
      </w:r>
      <w:r w:rsidR="00730F7B" w:rsidRPr="00730F7B">
        <w:rPr>
          <w:rFonts w:ascii="Trebuchet MS" w:hAnsi="Trebuchet MS"/>
          <w:color w:val="auto"/>
          <w:sz w:val="22"/>
          <w:szCs w:val="22"/>
        </w:rPr>
        <w:t xml:space="preserve"> iki 3</w:t>
      </w:r>
      <w:r w:rsidR="008507CC">
        <w:rPr>
          <w:rFonts w:ascii="Trebuchet MS" w:hAnsi="Trebuchet MS"/>
          <w:color w:val="auto"/>
          <w:sz w:val="22"/>
          <w:szCs w:val="22"/>
        </w:rPr>
        <w:t>0 %</w:t>
      </w:r>
      <w:r w:rsidR="00730F7B" w:rsidRPr="00730F7B">
        <w:rPr>
          <w:rFonts w:ascii="Trebuchet MS" w:hAnsi="Trebuchet MS"/>
          <w:color w:val="auto"/>
          <w:sz w:val="22"/>
          <w:szCs w:val="22"/>
        </w:rPr>
        <w:t>), tai rod</w:t>
      </w:r>
      <w:r>
        <w:rPr>
          <w:rFonts w:ascii="Trebuchet MS" w:hAnsi="Trebuchet MS"/>
          <w:color w:val="auto"/>
          <w:sz w:val="22"/>
          <w:szCs w:val="22"/>
        </w:rPr>
        <w:t>ytų</w:t>
      </w:r>
      <w:r w:rsidR="00730F7B" w:rsidRPr="00730F7B">
        <w:rPr>
          <w:rFonts w:ascii="Trebuchet MS" w:hAnsi="Trebuchet MS"/>
          <w:color w:val="auto"/>
          <w:sz w:val="22"/>
          <w:szCs w:val="22"/>
        </w:rPr>
        <w:t>, jog aibė yra nehomogeniška ir palyginimai</w:t>
      </w:r>
      <w:r w:rsidR="00730F7B" w:rsidRPr="002C57A8">
        <w:rPr>
          <w:rFonts w:ascii="Trebuchet MS" w:hAnsi="Trebuchet MS"/>
          <w:color w:val="auto"/>
          <w:sz w:val="22"/>
          <w:szCs w:val="22"/>
        </w:rPr>
        <w:t xml:space="preserve"> nėra vienodo patikimumo. Tuomet tikslinga peržiūrėti (pakeisti) palyginimų paieškos žingsnius (kriterijus)</w:t>
      </w:r>
      <w:r w:rsidR="009F2513">
        <w:rPr>
          <w:rFonts w:ascii="Trebuchet MS" w:hAnsi="Trebuchet MS"/>
          <w:color w:val="auto"/>
          <w:sz w:val="22"/>
          <w:szCs w:val="22"/>
        </w:rPr>
        <w:t>,</w:t>
      </w:r>
      <w:r w:rsidR="00730F7B" w:rsidRPr="002C57A8">
        <w:rPr>
          <w:rFonts w:ascii="Trebuchet MS" w:hAnsi="Trebuchet MS"/>
          <w:color w:val="auto"/>
          <w:sz w:val="22"/>
          <w:szCs w:val="22"/>
        </w:rPr>
        <w:t xml:space="preserve"> tokiu būdu praplečiant </w:t>
      </w:r>
      <w:r w:rsidR="00730F7B" w:rsidRPr="00F17ECC">
        <w:rPr>
          <w:rFonts w:ascii="Trebuchet MS" w:hAnsi="Trebuchet MS"/>
          <w:sz w:val="22"/>
          <w:szCs w:val="22"/>
        </w:rPr>
        <w:t>potencialių palyginamųjų aibę</w:t>
      </w:r>
      <w:r w:rsidR="003E2E1F">
        <w:rPr>
          <w:rFonts w:ascii="Trebuchet MS" w:hAnsi="Trebuchet MS"/>
          <w:sz w:val="22"/>
          <w:szCs w:val="22"/>
        </w:rPr>
        <w:t>,</w:t>
      </w:r>
      <w:r w:rsidR="00730F7B" w:rsidRPr="00F17ECC">
        <w:rPr>
          <w:rFonts w:ascii="Trebuchet MS" w:hAnsi="Trebuchet MS"/>
          <w:sz w:val="22"/>
          <w:szCs w:val="22"/>
        </w:rPr>
        <w:t xml:space="preserve"> arba rinktis kitą kainodaros metodą</w:t>
      </w:r>
      <w:r>
        <w:rPr>
          <w:rFonts w:ascii="Trebuchet MS" w:hAnsi="Trebuchet MS"/>
          <w:sz w:val="22"/>
          <w:szCs w:val="22"/>
        </w:rPr>
        <w:t>;</w:t>
      </w:r>
    </w:p>
    <w:p w14:paraId="0853D0F6" w14:textId="277BDA6C" w:rsidR="00014ED5" w:rsidRPr="00E5761B" w:rsidRDefault="00014ED5" w:rsidP="00014ED5">
      <w:pPr>
        <w:pStyle w:val="Default"/>
        <w:ind w:firstLine="720"/>
        <w:jc w:val="both"/>
        <w:rPr>
          <w:rFonts w:ascii="Trebuchet MS" w:hAnsi="Trebuchet MS"/>
          <w:sz w:val="22"/>
          <w:szCs w:val="22"/>
        </w:rPr>
      </w:pPr>
      <w:r>
        <w:rPr>
          <w:rFonts w:ascii="Trebuchet MS" w:hAnsi="Trebuchet MS"/>
          <w:sz w:val="22"/>
          <w:szCs w:val="22"/>
        </w:rPr>
        <w:t>- s</w:t>
      </w:r>
      <w:r w:rsidRPr="00E5761B">
        <w:rPr>
          <w:rFonts w:ascii="Trebuchet MS" w:hAnsi="Trebuchet MS"/>
          <w:sz w:val="22"/>
          <w:szCs w:val="22"/>
        </w:rPr>
        <w:t>varbu yra ne surasti kuo didesnę duomenų imtį, o sudaryti intervalą naudojant vienodai patikimus palyginamuosius sandorius. Todėl ir paieškos žingsniai (automatinė atranka) turi būti parenkami tokie, kurie leistų atrinkti kuo patikimesnius palyginamuosius duomenis, nepriklausomai nuo galimo rasti palyginamųjų duomenų skaičiaus, t. y. tokiu būdu būtų išvengta didelių laiko ir darbo sąnaudų individualiai peržiūrint atrinktas reikšmes (vykdant rankinę atranką).</w:t>
      </w:r>
    </w:p>
    <w:p w14:paraId="683685DB" w14:textId="671B305B" w:rsidR="00730F7B" w:rsidRPr="002C57A8" w:rsidRDefault="00730F7B" w:rsidP="00014ED5">
      <w:pPr>
        <w:autoSpaceDE w:val="0"/>
        <w:autoSpaceDN w:val="0"/>
        <w:adjustRightInd w:val="0"/>
        <w:spacing w:after="0"/>
        <w:ind w:firstLine="720"/>
        <w:jc w:val="both"/>
        <w:rPr>
          <w:rFonts w:ascii="Trebuchet MS" w:hAnsi="Trebuchet MS"/>
          <w:szCs w:val="22"/>
          <w:highlight w:val="yellow"/>
          <w:lang w:val="lt-LT"/>
        </w:rPr>
      </w:pPr>
      <w:r w:rsidRPr="00730F7B">
        <w:rPr>
          <w:rFonts w:ascii="Trebuchet MS" w:hAnsi="Trebuchet MS"/>
          <w:szCs w:val="22"/>
          <w:lang w:val="lt-LT"/>
        </w:rPr>
        <w:t xml:space="preserve">Praktikoje paprastai </w:t>
      </w:r>
      <w:r w:rsidR="00EF0B91">
        <w:rPr>
          <w:rFonts w:ascii="Trebuchet MS" w:hAnsi="Trebuchet MS"/>
          <w:szCs w:val="22"/>
          <w:lang w:val="lt-LT"/>
        </w:rPr>
        <w:t>atsižvelgiama į</w:t>
      </w:r>
      <w:r w:rsidR="00EF0B91" w:rsidRPr="00730F7B">
        <w:rPr>
          <w:rFonts w:ascii="Trebuchet MS" w:hAnsi="Trebuchet MS"/>
          <w:szCs w:val="22"/>
          <w:lang w:val="lt-LT"/>
        </w:rPr>
        <w:t xml:space="preserve"> </w:t>
      </w:r>
      <w:r w:rsidRPr="00730F7B">
        <w:rPr>
          <w:rFonts w:ascii="Trebuchet MS" w:hAnsi="Trebuchet MS"/>
          <w:szCs w:val="22"/>
          <w:lang w:val="lt-LT"/>
        </w:rPr>
        <w:t>minimali</w:t>
      </w:r>
      <w:r w:rsidR="00EF0B91">
        <w:rPr>
          <w:rFonts w:ascii="Trebuchet MS" w:hAnsi="Trebuchet MS"/>
          <w:szCs w:val="22"/>
          <w:lang w:val="lt-LT"/>
        </w:rPr>
        <w:t>ą</w:t>
      </w:r>
      <w:r w:rsidRPr="00730F7B">
        <w:rPr>
          <w:rFonts w:ascii="Trebuchet MS" w:hAnsi="Trebuchet MS"/>
          <w:szCs w:val="22"/>
          <w:lang w:val="lt-LT"/>
        </w:rPr>
        <w:t xml:space="preserve"> </w:t>
      </w:r>
      <w:r w:rsidRPr="0028727E">
        <w:rPr>
          <w:rFonts w:ascii="Trebuchet MS" w:hAnsi="Trebuchet MS"/>
          <w:szCs w:val="22"/>
          <w:lang w:val="lt-LT"/>
        </w:rPr>
        <w:t>5 palyginimų</w:t>
      </w:r>
      <w:r w:rsidRPr="00730F7B">
        <w:rPr>
          <w:rFonts w:ascii="Trebuchet MS" w:hAnsi="Trebuchet MS"/>
          <w:szCs w:val="22"/>
          <w:lang w:val="lt-LT"/>
        </w:rPr>
        <w:t xml:space="preserve"> rib</w:t>
      </w:r>
      <w:r w:rsidR="00EF0B91">
        <w:rPr>
          <w:rFonts w:ascii="Trebuchet MS" w:hAnsi="Trebuchet MS"/>
          <w:szCs w:val="22"/>
          <w:lang w:val="lt-LT"/>
        </w:rPr>
        <w:t>ą</w:t>
      </w:r>
      <w:r w:rsidRPr="00730F7B">
        <w:rPr>
          <w:rFonts w:ascii="Trebuchet MS" w:hAnsi="Trebuchet MS"/>
          <w:szCs w:val="22"/>
          <w:lang w:val="lt-LT"/>
        </w:rPr>
        <w:t xml:space="preserve"> (atsižvelgiant į matematinės kvartilių skaičiavimo formulės ypatumus). Visgi </w:t>
      </w:r>
      <w:r w:rsidR="003E2E1F">
        <w:rPr>
          <w:rFonts w:ascii="Trebuchet MS" w:hAnsi="Trebuchet MS"/>
          <w:szCs w:val="22"/>
          <w:lang w:val="lt-LT"/>
        </w:rPr>
        <w:t>šis skaičius nesukuria</w:t>
      </w:r>
      <w:r w:rsidRPr="00730F7B">
        <w:rPr>
          <w:rFonts w:ascii="Trebuchet MS" w:hAnsi="Trebuchet MS"/>
          <w:szCs w:val="22"/>
          <w:lang w:val="lt-LT"/>
        </w:rPr>
        <w:t xml:space="preserve"> taisyklė</w:t>
      </w:r>
      <w:r w:rsidR="003E2E1F">
        <w:rPr>
          <w:rFonts w:ascii="Trebuchet MS" w:hAnsi="Trebuchet MS"/>
          <w:szCs w:val="22"/>
          <w:lang w:val="lt-LT"/>
        </w:rPr>
        <w:t>s</w:t>
      </w:r>
      <w:r w:rsidR="007139AB">
        <w:rPr>
          <w:rFonts w:ascii="Trebuchet MS" w:hAnsi="Trebuchet MS"/>
          <w:szCs w:val="22"/>
          <w:lang w:val="lt-LT"/>
        </w:rPr>
        <w:t>,</w:t>
      </w:r>
      <w:r w:rsidR="007723B5">
        <w:rPr>
          <w:rFonts w:ascii="Trebuchet MS" w:hAnsi="Trebuchet MS"/>
          <w:szCs w:val="22"/>
          <w:lang w:val="lt-LT"/>
        </w:rPr>
        <w:t xml:space="preserve"> nes </w:t>
      </w:r>
      <w:r w:rsidRPr="00730F7B">
        <w:rPr>
          <w:rFonts w:ascii="Trebuchet MS" w:hAnsi="Trebuchet MS"/>
          <w:szCs w:val="22"/>
          <w:lang w:val="lt-LT"/>
        </w:rPr>
        <w:t>ne vien palyginimų skaičius lemia statistinių metodų taikymo poreikį</w:t>
      </w:r>
      <w:r w:rsidR="007723B5">
        <w:rPr>
          <w:rFonts w:ascii="Trebuchet MS" w:hAnsi="Trebuchet MS"/>
          <w:szCs w:val="22"/>
          <w:lang w:val="lt-LT"/>
        </w:rPr>
        <w:t xml:space="preserve"> (</w:t>
      </w:r>
      <w:r w:rsidR="007723B5" w:rsidRPr="007723B5">
        <w:rPr>
          <w:rFonts w:ascii="Trebuchet MS" w:hAnsi="Trebuchet MS"/>
          <w:i/>
          <w:szCs w:val="22"/>
          <w:lang w:val="lt-LT"/>
        </w:rPr>
        <w:t>apie tai plačiau žr. 1</w:t>
      </w:r>
      <w:r w:rsidR="00412C3E">
        <w:rPr>
          <w:rFonts w:ascii="Trebuchet MS" w:hAnsi="Trebuchet MS"/>
          <w:i/>
          <w:szCs w:val="22"/>
          <w:lang w:val="lt-LT"/>
        </w:rPr>
        <w:t>5</w:t>
      </w:r>
      <w:r w:rsidR="007723B5" w:rsidRPr="007723B5">
        <w:rPr>
          <w:rFonts w:ascii="Trebuchet MS" w:hAnsi="Trebuchet MS"/>
          <w:i/>
          <w:szCs w:val="22"/>
          <w:lang w:val="lt-LT"/>
        </w:rPr>
        <w:t xml:space="preserve"> kausimą</w:t>
      </w:r>
      <w:r w:rsidR="007723B5">
        <w:rPr>
          <w:rFonts w:ascii="Trebuchet MS" w:hAnsi="Trebuchet MS"/>
          <w:szCs w:val="22"/>
          <w:lang w:val="lt-LT"/>
        </w:rPr>
        <w:t>)</w:t>
      </w:r>
      <w:r w:rsidRPr="00730F7B">
        <w:rPr>
          <w:rFonts w:ascii="Trebuchet MS" w:hAnsi="Trebuchet MS"/>
          <w:szCs w:val="22"/>
          <w:lang w:val="lt-LT"/>
        </w:rPr>
        <w:t>.</w:t>
      </w:r>
    </w:p>
    <w:p w14:paraId="61645DCB" w14:textId="77777777" w:rsidR="00D945A3" w:rsidRPr="00F17ECC" w:rsidRDefault="00D945A3" w:rsidP="00C9122C">
      <w:pPr>
        <w:pStyle w:val="Default"/>
        <w:jc w:val="both"/>
        <w:rPr>
          <w:color w:val="auto"/>
          <w:sz w:val="22"/>
          <w:szCs w:val="22"/>
        </w:rPr>
      </w:pPr>
    </w:p>
    <w:p w14:paraId="7763FEF7" w14:textId="26369D84" w:rsidR="007453CD" w:rsidRPr="00F17ECC" w:rsidRDefault="007453CD" w:rsidP="00C9122C">
      <w:pPr>
        <w:pStyle w:val="Default"/>
        <w:ind w:firstLine="720"/>
        <w:jc w:val="both"/>
        <w:rPr>
          <w:rFonts w:ascii="Trebuchet MS" w:hAnsi="Trebuchet MS"/>
          <w:b/>
          <w:sz w:val="22"/>
          <w:szCs w:val="22"/>
        </w:rPr>
      </w:pPr>
      <w:r w:rsidRPr="002C57A8">
        <w:rPr>
          <w:rFonts w:ascii="Trebuchet MS" w:hAnsi="Trebuchet MS"/>
          <w:b/>
          <w:sz w:val="22"/>
          <w:szCs w:val="22"/>
        </w:rPr>
        <w:t>1</w:t>
      </w:r>
      <w:r w:rsidR="00412C3E">
        <w:rPr>
          <w:rFonts w:ascii="Trebuchet MS" w:hAnsi="Trebuchet MS"/>
          <w:b/>
          <w:sz w:val="22"/>
          <w:szCs w:val="22"/>
        </w:rPr>
        <w:t>5</w:t>
      </w:r>
      <w:r w:rsidRPr="002C57A8">
        <w:rPr>
          <w:rFonts w:ascii="Trebuchet MS" w:hAnsi="Trebuchet MS"/>
          <w:b/>
          <w:sz w:val="22"/>
          <w:szCs w:val="22"/>
        </w:rPr>
        <w:t>. Ką reiškia Kainodaros taisyklių 54 p. nurodyti „netipiški ir dideli intervalo reikšmių nuokrypiai“?</w:t>
      </w:r>
      <w:r w:rsidRPr="00F17ECC">
        <w:rPr>
          <w:rFonts w:ascii="Trebuchet MS" w:hAnsi="Trebuchet MS"/>
          <w:b/>
          <w:sz w:val="22"/>
          <w:szCs w:val="22"/>
        </w:rPr>
        <w:t xml:space="preserve"> </w:t>
      </w:r>
    </w:p>
    <w:p w14:paraId="52393CF8" w14:textId="77777777" w:rsidR="007453CD" w:rsidRPr="00F17ECC" w:rsidRDefault="007453CD" w:rsidP="00C9122C">
      <w:pPr>
        <w:pStyle w:val="Default"/>
        <w:ind w:firstLine="720"/>
        <w:jc w:val="both"/>
        <w:rPr>
          <w:rFonts w:ascii="Trebuchet MS" w:hAnsi="Trebuchet MS"/>
          <w:sz w:val="22"/>
          <w:szCs w:val="22"/>
        </w:rPr>
      </w:pPr>
      <w:r w:rsidRPr="00F17ECC">
        <w:rPr>
          <w:rFonts w:ascii="Trebuchet MS" w:hAnsi="Trebuchet MS"/>
          <w:sz w:val="22"/>
          <w:szCs w:val="22"/>
        </w:rPr>
        <w:t xml:space="preserve">Netipiški ir dideli intervalo reikšmių nuokrypiai yra vertinamojo pobūdžio, t. y. vertinami individualiai kiekvienoje situacijoje, atsižvelgiant į konkrečius turimus palyginimus (jų reikšmes), jų palyginamumo laipsnį, atliktus veiksmus dėl palyginamųjų duomenų koregavimo ir / ar atmetimo. </w:t>
      </w:r>
    </w:p>
    <w:p w14:paraId="1456D72C" w14:textId="77777777" w:rsidR="00D945A3" w:rsidRDefault="007453CD" w:rsidP="00C9122C">
      <w:pPr>
        <w:pStyle w:val="Default"/>
        <w:ind w:firstLine="720"/>
        <w:jc w:val="both"/>
        <w:rPr>
          <w:rFonts w:ascii="Trebuchet MS" w:hAnsi="Trebuchet MS"/>
          <w:color w:val="auto"/>
          <w:sz w:val="22"/>
          <w:szCs w:val="22"/>
        </w:rPr>
      </w:pPr>
      <w:r w:rsidRPr="00F17ECC">
        <w:rPr>
          <w:rFonts w:ascii="Trebuchet MS" w:hAnsi="Trebuchet MS"/>
          <w:sz w:val="22"/>
          <w:szCs w:val="22"/>
        </w:rPr>
        <w:t xml:space="preserve">Vertinant šiuos nuokrypius plačiau (ne tik Kainodaros taisyklių 54 p. minimoje apimtyje), pirmiausia, pastebėtina, kad </w:t>
      </w:r>
      <w:r w:rsidRPr="002C57A8">
        <w:rPr>
          <w:rFonts w:ascii="Trebuchet MS" w:hAnsi="Trebuchet MS"/>
          <w:color w:val="auto"/>
          <w:sz w:val="22"/>
          <w:szCs w:val="22"/>
        </w:rPr>
        <w:t xml:space="preserve">jeigu atlikus paiešką matyti, jog kai kurios reikšmės </w:t>
      </w:r>
      <w:r w:rsidR="0056598B" w:rsidRPr="002C57A8">
        <w:rPr>
          <w:rFonts w:ascii="Trebuchet MS" w:hAnsi="Trebuchet MS"/>
          <w:color w:val="auto"/>
          <w:sz w:val="22"/>
          <w:szCs w:val="22"/>
        </w:rPr>
        <w:t xml:space="preserve">ekstremaliai skiriasi, t. y. </w:t>
      </w:r>
      <w:r w:rsidRPr="002C57A8">
        <w:rPr>
          <w:rFonts w:ascii="Trebuchet MS" w:hAnsi="Trebuchet MS"/>
          <w:color w:val="auto"/>
          <w:sz w:val="22"/>
          <w:szCs w:val="22"/>
        </w:rPr>
        <w:t xml:space="preserve">yra </w:t>
      </w:r>
      <w:r w:rsidR="002C57A8" w:rsidRPr="002C57A8">
        <w:rPr>
          <w:rFonts w:ascii="Trebuchet MS" w:hAnsi="Trebuchet MS"/>
          <w:color w:val="auto"/>
          <w:sz w:val="22"/>
          <w:szCs w:val="22"/>
        </w:rPr>
        <w:t xml:space="preserve">reikšmingai </w:t>
      </w:r>
      <w:r w:rsidRPr="002C57A8">
        <w:rPr>
          <w:rFonts w:ascii="Trebuchet MS" w:hAnsi="Trebuchet MS"/>
          <w:color w:val="auto"/>
          <w:sz w:val="22"/>
          <w:szCs w:val="22"/>
        </w:rPr>
        <w:t>didesnės ar mažesnės, nei didžioji dalis visų atrinktųjų reikšmių (pvz., vidutinis veiklos pelningumo maržos rodiklis yra mažesnis nei (-50) proc. ar siekia 100 proc. ir daugiau), šios reikšmės turėtų būti eliminuojamos ir nepatekti į intervalą, kuriam taikomi statistiniai metodai.</w:t>
      </w:r>
    </w:p>
    <w:p w14:paraId="57C4C999" w14:textId="2C59E8A8" w:rsidR="00D945A3" w:rsidRDefault="007453CD" w:rsidP="00C9122C">
      <w:pPr>
        <w:pStyle w:val="Default"/>
        <w:ind w:firstLine="720"/>
        <w:jc w:val="both"/>
        <w:rPr>
          <w:rFonts w:ascii="Trebuchet MS" w:hAnsi="Trebuchet MS"/>
          <w:sz w:val="22"/>
          <w:szCs w:val="22"/>
        </w:rPr>
      </w:pPr>
      <w:r w:rsidRPr="00F17ECC">
        <w:rPr>
          <w:rFonts w:ascii="Trebuchet MS" w:hAnsi="Trebuchet MS"/>
          <w:sz w:val="22"/>
          <w:szCs w:val="22"/>
        </w:rPr>
        <w:t>Vertinant nuokrypius, minimus Kainodaros taisyklių 54 p., siekiant nustatyti poreikį taikyti statistinius metodus, pirmiausia</w:t>
      </w:r>
      <w:r w:rsidR="00E719CE">
        <w:rPr>
          <w:rFonts w:ascii="Trebuchet MS" w:hAnsi="Trebuchet MS"/>
          <w:sz w:val="22"/>
          <w:szCs w:val="22"/>
        </w:rPr>
        <w:t>,</w:t>
      </w:r>
      <w:r w:rsidRPr="00F17ECC">
        <w:rPr>
          <w:rFonts w:ascii="Trebuchet MS" w:hAnsi="Trebuchet MS"/>
          <w:sz w:val="22"/>
          <w:szCs w:val="22"/>
        </w:rPr>
        <w:t xml:space="preserve"> turėtų būti įvertinta tai, ar intervalas yra homogeniškas (sudarytas iš vienodo patikimumo palyginimų) ir kokio platumo yra jo aibė. </w:t>
      </w:r>
    </w:p>
    <w:p w14:paraId="74F7C365" w14:textId="5CA8EE24" w:rsidR="00E719CE" w:rsidRDefault="007453CD" w:rsidP="00C9122C">
      <w:pPr>
        <w:pStyle w:val="Default"/>
        <w:ind w:firstLine="720"/>
        <w:jc w:val="both"/>
        <w:rPr>
          <w:rFonts w:ascii="Trebuchet MS" w:hAnsi="Trebuchet MS"/>
          <w:color w:val="auto"/>
          <w:sz w:val="22"/>
          <w:szCs w:val="22"/>
        </w:rPr>
      </w:pPr>
      <w:r w:rsidRPr="00F17ECC">
        <w:rPr>
          <w:rFonts w:ascii="Trebuchet MS" w:hAnsi="Trebuchet MS"/>
          <w:sz w:val="22"/>
          <w:szCs w:val="22"/>
        </w:rPr>
        <w:t xml:space="preserve">Kuo intervalą sudaranti aibė yra siauresnė, tuo intervalas laikytinas homogeniškesniu. Esant ganėtinai siaurai </w:t>
      </w:r>
      <w:r w:rsidRPr="00933A19">
        <w:rPr>
          <w:rFonts w:ascii="Trebuchet MS" w:hAnsi="Trebuchet MS"/>
          <w:color w:val="auto"/>
          <w:sz w:val="22"/>
          <w:szCs w:val="22"/>
        </w:rPr>
        <w:t xml:space="preserve">aibei (pvz., </w:t>
      </w:r>
      <w:r w:rsidR="00933A19" w:rsidRPr="00933A19">
        <w:rPr>
          <w:rFonts w:ascii="Trebuchet MS" w:hAnsi="Trebuchet MS"/>
          <w:color w:val="auto"/>
          <w:sz w:val="22"/>
          <w:szCs w:val="22"/>
        </w:rPr>
        <w:t xml:space="preserve">nuo </w:t>
      </w:r>
      <w:r w:rsidR="00E719CE">
        <w:rPr>
          <w:rFonts w:ascii="Trebuchet MS" w:hAnsi="Trebuchet MS"/>
          <w:color w:val="auto"/>
          <w:sz w:val="22"/>
          <w:szCs w:val="22"/>
        </w:rPr>
        <w:t>3</w:t>
      </w:r>
      <w:r w:rsidR="00933A19" w:rsidRPr="00933A19">
        <w:rPr>
          <w:rFonts w:ascii="Trebuchet MS" w:hAnsi="Trebuchet MS"/>
          <w:color w:val="auto"/>
          <w:sz w:val="22"/>
          <w:szCs w:val="22"/>
        </w:rPr>
        <w:t xml:space="preserve"> iki </w:t>
      </w:r>
      <w:r w:rsidR="00E719CE">
        <w:rPr>
          <w:rFonts w:ascii="Trebuchet MS" w:hAnsi="Trebuchet MS"/>
          <w:color w:val="auto"/>
          <w:sz w:val="22"/>
          <w:szCs w:val="22"/>
        </w:rPr>
        <w:t>6</w:t>
      </w:r>
      <w:r w:rsidRPr="00933A19">
        <w:rPr>
          <w:rFonts w:ascii="Trebuchet MS" w:hAnsi="Trebuchet MS"/>
          <w:color w:val="auto"/>
          <w:sz w:val="22"/>
          <w:szCs w:val="22"/>
        </w:rPr>
        <w:t xml:space="preserve"> proc.), poreikis taikyti statistinius metodus paprastai nekyla</w:t>
      </w:r>
      <w:r w:rsidR="00933A19">
        <w:rPr>
          <w:rFonts w:ascii="Trebuchet MS" w:hAnsi="Trebuchet MS"/>
          <w:color w:val="auto"/>
          <w:sz w:val="22"/>
          <w:szCs w:val="22"/>
        </w:rPr>
        <w:t>, jeigu yra įsitikinta palyginimų patikimumu ir nekyla abejonių dėl to, jog kai kurie iš palyginimų gali nebūti vienodo patikimumo lygio</w:t>
      </w:r>
      <w:r w:rsidRPr="00933A19">
        <w:rPr>
          <w:rFonts w:ascii="Trebuchet MS" w:hAnsi="Trebuchet MS"/>
          <w:color w:val="auto"/>
          <w:sz w:val="22"/>
          <w:szCs w:val="22"/>
        </w:rPr>
        <w:t xml:space="preserve">. </w:t>
      </w:r>
      <w:r w:rsidR="00E719CE">
        <w:rPr>
          <w:rFonts w:ascii="Trebuchet MS" w:hAnsi="Trebuchet MS"/>
          <w:color w:val="auto"/>
          <w:sz w:val="22"/>
          <w:szCs w:val="22"/>
        </w:rPr>
        <w:t xml:space="preserve">Tačiau jeigu </w:t>
      </w:r>
      <w:r w:rsidR="00D945A3">
        <w:rPr>
          <w:rFonts w:ascii="Trebuchet MS" w:hAnsi="Trebuchet MS"/>
          <w:color w:val="auto"/>
          <w:sz w:val="22"/>
          <w:szCs w:val="22"/>
        </w:rPr>
        <w:t xml:space="preserve">nors ir </w:t>
      </w:r>
      <w:r w:rsidR="00E719CE">
        <w:rPr>
          <w:rFonts w:ascii="Trebuchet MS" w:hAnsi="Trebuchet MS"/>
          <w:color w:val="auto"/>
          <w:sz w:val="22"/>
          <w:szCs w:val="22"/>
        </w:rPr>
        <w:t xml:space="preserve">gaunama </w:t>
      </w:r>
      <w:r w:rsidR="00D945A3">
        <w:rPr>
          <w:rFonts w:ascii="Trebuchet MS" w:hAnsi="Trebuchet MS"/>
          <w:color w:val="auto"/>
          <w:sz w:val="22"/>
          <w:szCs w:val="22"/>
        </w:rPr>
        <w:t xml:space="preserve">ganėtinai </w:t>
      </w:r>
      <w:r w:rsidR="00E719CE">
        <w:rPr>
          <w:rFonts w:ascii="Trebuchet MS" w:hAnsi="Trebuchet MS"/>
          <w:color w:val="auto"/>
          <w:sz w:val="22"/>
          <w:szCs w:val="22"/>
        </w:rPr>
        <w:t xml:space="preserve">siaura </w:t>
      </w:r>
      <w:r w:rsidR="00E719CE">
        <w:rPr>
          <w:rFonts w:ascii="Trebuchet MS" w:hAnsi="Trebuchet MS"/>
          <w:color w:val="auto"/>
          <w:sz w:val="22"/>
          <w:szCs w:val="22"/>
        </w:rPr>
        <w:lastRenderedPageBreak/>
        <w:t>aibė</w:t>
      </w:r>
      <w:r w:rsidR="00D945A3">
        <w:rPr>
          <w:rFonts w:ascii="Trebuchet MS" w:hAnsi="Trebuchet MS"/>
          <w:color w:val="auto"/>
          <w:sz w:val="22"/>
          <w:szCs w:val="22"/>
        </w:rPr>
        <w:t xml:space="preserve"> (pvz., nuo 5 iki 10 proc.)</w:t>
      </w:r>
      <w:r w:rsidR="00E719CE">
        <w:rPr>
          <w:rFonts w:ascii="Trebuchet MS" w:hAnsi="Trebuchet MS"/>
          <w:color w:val="auto"/>
          <w:sz w:val="22"/>
          <w:szCs w:val="22"/>
        </w:rPr>
        <w:t xml:space="preserve">, bet surasta informacija apie atrinktas palyginamąsias įmones atskleidžia, jog yra tam tikrų skirtumų, kurių </w:t>
      </w:r>
      <w:r w:rsidR="00D945A3">
        <w:rPr>
          <w:rFonts w:ascii="Trebuchet MS" w:hAnsi="Trebuchet MS"/>
          <w:color w:val="auto"/>
          <w:sz w:val="22"/>
          <w:szCs w:val="22"/>
        </w:rPr>
        <w:t>atžvilgiu atlikti palyginimų rodiklių korekcijas nėra galimybės, ir šie skirtumai nėra tokie reikšmingi, dėl kurių palyginimai turėtų būti eliminuojami iš palyginimų sąrašo, tuomet tikslinga pritaikyti ir statistinius aibės siaurinimo metodus, siekiant didesnio ištiestosios rankos intervalo tikslumo.</w:t>
      </w:r>
      <w:r w:rsidR="00E719CE">
        <w:rPr>
          <w:rFonts w:ascii="Trebuchet MS" w:hAnsi="Trebuchet MS"/>
          <w:color w:val="auto"/>
          <w:sz w:val="22"/>
          <w:szCs w:val="22"/>
        </w:rPr>
        <w:t xml:space="preserve"> </w:t>
      </w:r>
    </w:p>
    <w:p w14:paraId="7F263D2E" w14:textId="31EAF39A" w:rsidR="007453CD" w:rsidRDefault="00D945A3" w:rsidP="00C9122C">
      <w:pPr>
        <w:pStyle w:val="Default"/>
        <w:ind w:firstLine="720"/>
        <w:jc w:val="both"/>
        <w:rPr>
          <w:rFonts w:ascii="Trebuchet MS" w:hAnsi="Trebuchet MS"/>
          <w:sz w:val="22"/>
          <w:szCs w:val="22"/>
        </w:rPr>
      </w:pPr>
      <w:r>
        <w:rPr>
          <w:rFonts w:ascii="Trebuchet MS" w:hAnsi="Trebuchet MS"/>
          <w:color w:val="auto"/>
          <w:sz w:val="22"/>
          <w:szCs w:val="22"/>
        </w:rPr>
        <w:t>Visais k</w:t>
      </w:r>
      <w:r w:rsidR="007453CD" w:rsidRPr="00933A19">
        <w:rPr>
          <w:rFonts w:ascii="Trebuchet MS" w:hAnsi="Trebuchet MS"/>
          <w:color w:val="auto"/>
          <w:sz w:val="22"/>
          <w:szCs w:val="22"/>
        </w:rPr>
        <w:t>ita</w:t>
      </w:r>
      <w:r w:rsidR="007453CD" w:rsidRPr="00F17ECC">
        <w:rPr>
          <w:rFonts w:ascii="Trebuchet MS" w:hAnsi="Trebuchet MS"/>
          <w:sz w:val="22"/>
          <w:szCs w:val="22"/>
        </w:rPr>
        <w:t xml:space="preserve">is atvejais, kurių praktikoje yra dauguma, rekomenduojama taikyti statistinius metodus (paprastai kvartilių metodą), kadangi viešai prieinama informacija apie palyginimus yra ribota ir nesudaro galimybių įvertinti visų palyginimų kriterijų tokia apimtimi, kuria yra įvertinamas kontroliuojamasis sandoris, kurio kainą siekiama nustatyti. </w:t>
      </w:r>
    </w:p>
    <w:p w14:paraId="3CABE624" w14:textId="77777777" w:rsidR="00D945A3" w:rsidRPr="00F17ECC" w:rsidRDefault="00D945A3" w:rsidP="00C9122C">
      <w:pPr>
        <w:pStyle w:val="Default"/>
        <w:ind w:firstLine="720"/>
        <w:jc w:val="both"/>
        <w:rPr>
          <w:rFonts w:ascii="Trebuchet MS" w:hAnsi="Trebuchet MS"/>
          <w:sz w:val="22"/>
          <w:szCs w:val="22"/>
        </w:rPr>
      </w:pPr>
    </w:p>
    <w:p w14:paraId="05AB712C" w14:textId="23E8E46F" w:rsidR="007453CD" w:rsidRPr="00F17ECC" w:rsidRDefault="007453CD" w:rsidP="00C9122C">
      <w:pPr>
        <w:pStyle w:val="Default"/>
        <w:ind w:firstLine="720"/>
        <w:jc w:val="both"/>
        <w:rPr>
          <w:rFonts w:ascii="Trebuchet MS" w:hAnsi="Trebuchet MS"/>
          <w:b/>
          <w:color w:val="auto"/>
          <w:sz w:val="22"/>
          <w:szCs w:val="22"/>
        </w:rPr>
      </w:pPr>
      <w:r w:rsidRPr="00F17ECC">
        <w:rPr>
          <w:rFonts w:ascii="Trebuchet MS" w:hAnsi="Trebuchet MS"/>
          <w:b/>
          <w:color w:val="auto"/>
          <w:sz w:val="22"/>
          <w:szCs w:val="22"/>
        </w:rPr>
        <w:t>1</w:t>
      </w:r>
      <w:r w:rsidR="00412C3E">
        <w:rPr>
          <w:rFonts w:ascii="Trebuchet MS" w:hAnsi="Trebuchet MS"/>
          <w:b/>
          <w:color w:val="auto"/>
          <w:sz w:val="22"/>
          <w:szCs w:val="22"/>
        </w:rPr>
        <w:t>6</w:t>
      </w:r>
      <w:r w:rsidRPr="00F17ECC">
        <w:rPr>
          <w:rFonts w:ascii="Trebuchet MS" w:hAnsi="Trebuchet MS"/>
          <w:b/>
          <w:color w:val="auto"/>
          <w:sz w:val="22"/>
          <w:szCs w:val="22"/>
        </w:rPr>
        <w:t xml:space="preserve">. Kaip skaičiuojami kvartiliai? </w:t>
      </w:r>
    </w:p>
    <w:p w14:paraId="1D216BA5" w14:textId="6C38E7B5" w:rsidR="007453CD" w:rsidRDefault="007453CD" w:rsidP="00C9122C">
      <w:pPr>
        <w:pStyle w:val="Default"/>
        <w:ind w:firstLine="720"/>
        <w:jc w:val="both"/>
        <w:rPr>
          <w:rFonts w:ascii="Trebuchet MS" w:hAnsi="Trebuchet MS"/>
          <w:sz w:val="22"/>
          <w:szCs w:val="22"/>
        </w:rPr>
      </w:pPr>
      <w:r w:rsidRPr="00F17ECC">
        <w:rPr>
          <w:rFonts w:ascii="Trebuchet MS" w:hAnsi="Trebuchet MS"/>
          <w:color w:val="auto"/>
          <w:sz w:val="22"/>
          <w:szCs w:val="22"/>
        </w:rPr>
        <w:t xml:space="preserve">Įprastai tiek mokesčių administratorius, tiek mokesčių mokėtojai kvartilių apskaičiavimui naudoja </w:t>
      </w:r>
      <w:r w:rsidRPr="00F17ECC">
        <w:rPr>
          <w:rFonts w:ascii="Trebuchet MS" w:hAnsi="Trebuchet MS"/>
          <w:sz w:val="22"/>
          <w:szCs w:val="22"/>
        </w:rPr>
        <w:t>Microsoft Excel</w:t>
      </w:r>
      <w:r w:rsidRPr="00F17ECC">
        <w:rPr>
          <w:rFonts w:ascii="Trebuchet MS" w:hAnsi="Trebuchet MS"/>
          <w:color w:val="auto"/>
          <w:sz w:val="22"/>
          <w:szCs w:val="22"/>
        </w:rPr>
        <w:t xml:space="preserve"> formules. </w:t>
      </w:r>
      <w:r w:rsidRPr="00F17ECC">
        <w:rPr>
          <w:rFonts w:ascii="Trebuchet MS" w:hAnsi="Trebuchet MS"/>
          <w:sz w:val="22"/>
          <w:szCs w:val="22"/>
        </w:rPr>
        <w:t>Microsoft Excel</w:t>
      </w:r>
      <w:r w:rsidRPr="00F17ECC">
        <w:rPr>
          <w:rFonts w:ascii="Trebuchet MS" w:hAnsi="Trebuchet MS"/>
          <w:color w:val="auto"/>
          <w:sz w:val="22"/>
          <w:szCs w:val="22"/>
        </w:rPr>
        <w:t xml:space="preserve"> siūlo dvi pagrindines </w:t>
      </w:r>
      <w:r w:rsidRPr="00F17ECC">
        <w:rPr>
          <w:rFonts w:ascii="Trebuchet MS" w:hAnsi="Trebuchet MS"/>
          <w:sz w:val="22"/>
          <w:szCs w:val="22"/>
        </w:rPr>
        <w:t xml:space="preserve">kvartilių skaičiavimo formules: quartile.inc ir  tiek </w:t>
      </w:r>
      <w:proofErr w:type="spellStart"/>
      <w:r w:rsidRPr="00F17ECC">
        <w:rPr>
          <w:rFonts w:ascii="Trebuchet MS" w:hAnsi="Trebuchet MS"/>
          <w:sz w:val="22"/>
          <w:szCs w:val="22"/>
        </w:rPr>
        <w:t>quartile.exc</w:t>
      </w:r>
      <w:proofErr w:type="spellEnd"/>
      <w:r w:rsidRPr="00F17ECC">
        <w:rPr>
          <w:rFonts w:ascii="Trebuchet MS" w:hAnsi="Trebuchet MS"/>
          <w:sz w:val="22"/>
          <w:szCs w:val="22"/>
        </w:rPr>
        <w:t xml:space="preserve">. </w:t>
      </w:r>
      <w:r w:rsidR="00C62ABB" w:rsidRPr="00F17ECC">
        <w:rPr>
          <w:rFonts w:ascii="Trebuchet MS" w:hAnsi="Trebuchet MS"/>
          <w:sz w:val="22"/>
          <w:szCs w:val="22"/>
        </w:rPr>
        <w:t>M</w:t>
      </w:r>
      <w:r w:rsidRPr="00F17ECC">
        <w:rPr>
          <w:rFonts w:ascii="Trebuchet MS" w:hAnsi="Trebuchet MS"/>
          <w:sz w:val="22"/>
          <w:szCs w:val="22"/>
        </w:rPr>
        <w:t xml:space="preserve">okesčių administratorius praktikoje paprastai taiko ir rekomenduoja mokesčių mokėtojams naudoti Microsoft Excel </w:t>
      </w:r>
      <w:proofErr w:type="spellStart"/>
      <w:r w:rsidRPr="00F17ECC">
        <w:rPr>
          <w:rFonts w:ascii="Trebuchet MS" w:hAnsi="Trebuchet MS"/>
          <w:sz w:val="22"/>
          <w:szCs w:val="22"/>
        </w:rPr>
        <w:t>quartile.exc</w:t>
      </w:r>
      <w:proofErr w:type="spellEnd"/>
      <w:r w:rsidRPr="00F17ECC">
        <w:rPr>
          <w:rFonts w:ascii="Trebuchet MS" w:hAnsi="Trebuchet MS"/>
          <w:sz w:val="22"/>
          <w:szCs w:val="22"/>
        </w:rPr>
        <w:t xml:space="preserve"> funkciją, kuri artima </w:t>
      </w:r>
      <w:r w:rsidR="00DB6664">
        <w:rPr>
          <w:rFonts w:ascii="Trebuchet MS" w:hAnsi="Trebuchet MS"/>
          <w:sz w:val="22"/>
          <w:szCs w:val="22"/>
        </w:rPr>
        <w:t>Valstybės duomenų agentūros</w:t>
      </w:r>
      <w:r w:rsidRPr="00F17ECC">
        <w:rPr>
          <w:rFonts w:ascii="Trebuchet MS" w:hAnsi="Trebuchet MS"/>
          <w:sz w:val="22"/>
          <w:szCs w:val="22"/>
        </w:rPr>
        <w:t xml:space="preserve"> </w:t>
      </w:r>
      <w:hyperlink r:id="rId9" w:history="1">
        <w:r w:rsidRPr="00F17ECC">
          <w:rPr>
            <w:rStyle w:val="Hipersaitas"/>
            <w:rFonts w:ascii="Trebuchet MS" w:hAnsi="Trebuchet MS"/>
            <w:sz w:val="22"/>
            <w:szCs w:val="22"/>
          </w:rPr>
          <w:t>Kvartilių skaičiavimo metodikai</w:t>
        </w:r>
      </w:hyperlink>
      <w:r w:rsidR="00BA7CFF">
        <w:rPr>
          <w:rStyle w:val="Puslapioinaosnuoroda"/>
          <w:rFonts w:ascii="Trebuchet MS" w:hAnsi="Trebuchet MS"/>
          <w:color w:val="0000FF"/>
          <w:sz w:val="22"/>
          <w:szCs w:val="22"/>
          <w:u w:val="single"/>
        </w:rPr>
        <w:footnoteReference w:id="8"/>
      </w:r>
      <w:r w:rsidRPr="00F17ECC">
        <w:rPr>
          <w:rFonts w:ascii="Trebuchet MS" w:hAnsi="Trebuchet MS"/>
          <w:sz w:val="22"/>
          <w:szCs w:val="22"/>
        </w:rPr>
        <w:t>.</w:t>
      </w:r>
    </w:p>
    <w:p w14:paraId="2BD273B3" w14:textId="77777777" w:rsidR="007A57C7" w:rsidRPr="00F17ECC" w:rsidRDefault="007A57C7" w:rsidP="00C9122C">
      <w:pPr>
        <w:pStyle w:val="Default"/>
        <w:ind w:firstLine="720"/>
        <w:jc w:val="both"/>
        <w:rPr>
          <w:rFonts w:ascii="Trebuchet MS" w:hAnsi="Trebuchet MS"/>
          <w:sz w:val="22"/>
          <w:szCs w:val="22"/>
        </w:rPr>
      </w:pPr>
    </w:p>
    <w:p w14:paraId="67C60388" w14:textId="5DCB68A4"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b/>
          <w:color w:val="auto"/>
          <w:sz w:val="22"/>
          <w:szCs w:val="22"/>
        </w:rPr>
        <w:t>1</w:t>
      </w:r>
      <w:r w:rsidR="00412C3E">
        <w:rPr>
          <w:rFonts w:ascii="Trebuchet MS" w:hAnsi="Trebuchet MS"/>
          <w:b/>
          <w:color w:val="auto"/>
          <w:sz w:val="22"/>
          <w:szCs w:val="22"/>
        </w:rPr>
        <w:t>7</w:t>
      </w:r>
      <w:r w:rsidRPr="00F17ECC">
        <w:rPr>
          <w:rFonts w:ascii="Trebuchet MS" w:hAnsi="Trebuchet MS"/>
          <w:b/>
          <w:color w:val="auto"/>
          <w:sz w:val="22"/>
          <w:szCs w:val="22"/>
        </w:rPr>
        <w:t xml:space="preserve">. Ar </w:t>
      </w:r>
      <w:r w:rsidR="002671F6">
        <w:rPr>
          <w:rFonts w:ascii="Trebuchet MS" w:hAnsi="Trebuchet MS"/>
          <w:b/>
          <w:color w:val="auto"/>
          <w:sz w:val="22"/>
          <w:szCs w:val="22"/>
        </w:rPr>
        <w:t xml:space="preserve">mokesčių mokėtojas, </w:t>
      </w:r>
      <w:r w:rsidRPr="00F17ECC">
        <w:rPr>
          <w:rFonts w:ascii="Trebuchet MS" w:hAnsi="Trebuchet MS"/>
          <w:b/>
          <w:color w:val="auto"/>
          <w:sz w:val="22"/>
          <w:szCs w:val="22"/>
        </w:rPr>
        <w:t>nustatydamas kontroliuojamojo sandorio kainą, gali pasirinkti bet kurį skaičių iš ištiestosios rankos intervalo</w:t>
      </w:r>
      <w:r w:rsidRPr="00F17ECC">
        <w:rPr>
          <w:rFonts w:ascii="Trebuchet MS" w:hAnsi="Trebuchet MS"/>
          <w:color w:val="auto"/>
          <w:sz w:val="22"/>
          <w:szCs w:val="22"/>
        </w:rPr>
        <w:t>?</w:t>
      </w:r>
    </w:p>
    <w:p w14:paraId="328259D0" w14:textId="47206BE7"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Jeigu ištiestosios rankos intervalas sudarytas naudojant vienodai patikimus palyginamuosius duomenis, kiekvien</w:t>
      </w:r>
      <w:r w:rsidR="00A8030C">
        <w:rPr>
          <w:rFonts w:ascii="Trebuchet MS" w:hAnsi="Trebuchet MS"/>
          <w:color w:val="auto"/>
          <w:sz w:val="22"/>
          <w:szCs w:val="22"/>
        </w:rPr>
        <w:t>a</w:t>
      </w:r>
      <w:r w:rsidRPr="00F17ECC">
        <w:rPr>
          <w:rFonts w:ascii="Trebuchet MS" w:hAnsi="Trebuchet MS"/>
          <w:color w:val="auto"/>
          <w:sz w:val="22"/>
          <w:szCs w:val="22"/>
        </w:rPr>
        <w:t xml:space="preserve"> reikšmė, esanti šiame intervale, laikoma vienodai patikima. Todėl mokesčių mokėtojas </w:t>
      </w:r>
      <w:proofErr w:type="spellStart"/>
      <w:r w:rsidRPr="007139AB">
        <w:rPr>
          <w:rFonts w:ascii="Trebuchet MS" w:hAnsi="Trebuchet MS"/>
          <w:i/>
          <w:color w:val="auto"/>
          <w:sz w:val="22"/>
          <w:szCs w:val="22"/>
        </w:rPr>
        <w:t>ex</w:t>
      </w:r>
      <w:proofErr w:type="spellEnd"/>
      <w:r w:rsidRPr="007139AB">
        <w:rPr>
          <w:rFonts w:ascii="Trebuchet MS" w:hAnsi="Trebuchet MS"/>
          <w:i/>
          <w:color w:val="auto"/>
          <w:sz w:val="22"/>
          <w:szCs w:val="22"/>
        </w:rPr>
        <w:t xml:space="preserve"> ante</w:t>
      </w:r>
      <w:r w:rsidRPr="00F17ECC">
        <w:rPr>
          <w:rFonts w:ascii="Trebuchet MS" w:hAnsi="Trebuchet MS"/>
          <w:color w:val="auto"/>
          <w:sz w:val="22"/>
          <w:szCs w:val="22"/>
        </w:rPr>
        <w:t xml:space="preserve"> (iš anksto) nustatydamas kainą gali pasirinkti bet kurį dydį, esantį intervale. Tolesnių veiksmų vykdymas priklauso nuo to, koks kainodaros metodas taikomas:</w:t>
      </w:r>
    </w:p>
    <w:p w14:paraId="4DBC5F7F" w14:textId="77777777"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jeigu taikomas palyginamosios nepriklausomos kainos kainodaros metodas, poreikis peržiūrėti kainą metų pabaigoje paprastai nekyla, išskyrus jeigu įrodoma, jog neasocijuoti asmenys esant analogiškoms sąlygoms būtų linkę peržiūrėti kainas;</w:t>
      </w:r>
    </w:p>
    <w:p w14:paraId="4EA86A4C" w14:textId="4E131120"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jeigu taikom</w:t>
      </w:r>
      <w:r w:rsidR="00024E42">
        <w:rPr>
          <w:rFonts w:ascii="Trebuchet MS" w:hAnsi="Trebuchet MS"/>
          <w:color w:val="auto"/>
          <w:sz w:val="22"/>
          <w:szCs w:val="22"/>
        </w:rPr>
        <w:t xml:space="preserve">i kiti nei </w:t>
      </w:r>
      <w:r w:rsidR="00024E42" w:rsidRPr="00F17ECC">
        <w:rPr>
          <w:rFonts w:ascii="Trebuchet MS" w:hAnsi="Trebuchet MS"/>
          <w:color w:val="auto"/>
          <w:sz w:val="22"/>
          <w:szCs w:val="22"/>
        </w:rPr>
        <w:t>palyginamosios nepriklausomos kainos kainodaros metodas</w:t>
      </w:r>
      <w:r w:rsidRPr="00F17ECC">
        <w:rPr>
          <w:rFonts w:ascii="Trebuchet MS" w:hAnsi="Trebuchet MS"/>
          <w:color w:val="auto"/>
          <w:sz w:val="22"/>
          <w:szCs w:val="22"/>
        </w:rPr>
        <w:t>, tuomet nustatydamas kontroliuojamojo sandorio, kuris bus vykdomas einamaisia</w:t>
      </w:r>
      <w:r w:rsidR="000B5031" w:rsidRPr="00F17ECC">
        <w:rPr>
          <w:rFonts w:ascii="Trebuchet MS" w:hAnsi="Trebuchet MS"/>
          <w:color w:val="auto"/>
          <w:sz w:val="22"/>
          <w:szCs w:val="22"/>
        </w:rPr>
        <w:t>i</w:t>
      </w:r>
      <w:r w:rsidRPr="00F17ECC">
        <w:rPr>
          <w:rFonts w:ascii="Trebuchet MS" w:hAnsi="Trebuchet MS"/>
          <w:color w:val="auto"/>
          <w:sz w:val="22"/>
          <w:szCs w:val="22"/>
        </w:rPr>
        <w:t xml:space="preserve">s metais, kainą, mokesčių mokėtojas pasirenka bet kurį dydį iš intervalo. Tačiau jeigu metų eigoje buvo patirta papildomų išlaidų, susijusių su šiuo sandoriu, faktinis tokio sandorio pelningumas gali pasikeisti, todėl metų pabaigoje faktinė sandorio kaina turi būti peržiūrėta, siekiant įsitikinti, kad faktinė kaina pateko į nustatytąjį ištiestosios rankos intervalą. Jeigu kaina yra intervale, nors ji ir skiriasi nuo iš anksto nusistatytosios kainos, korekcija dėl kainų neatitikimo IRP neatliekama. Tačiau jeigu faktinė kaina yra mažesnė ar didesnė, nei ištiestosios rankos intervalo kraštinės reikšmės, tuomet tokia kaina turi būti koreguojama atitinkamai ją didinant ar mažinant iki </w:t>
      </w:r>
      <w:r w:rsidR="00A9581E">
        <w:rPr>
          <w:rFonts w:ascii="Trebuchet MS" w:hAnsi="Trebuchet MS"/>
          <w:color w:val="auto"/>
          <w:sz w:val="22"/>
          <w:szCs w:val="22"/>
        </w:rPr>
        <w:t xml:space="preserve">dydžio, patenkančio į </w:t>
      </w:r>
      <w:r w:rsidRPr="00F17ECC">
        <w:rPr>
          <w:rFonts w:ascii="Trebuchet MS" w:hAnsi="Trebuchet MS"/>
          <w:color w:val="auto"/>
          <w:sz w:val="22"/>
          <w:szCs w:val="22"/>
        </w:rPr>
        <w:t>ištiestosios rankos interval</w:t>
      </w:r>
      <w:r w:rsidR="00A9581E">
        <w:rPr>
          <w:rFonts w:ascii="Trebuchet MS" w:hAnsi="Trebuchet MS"/>
          <w:color w:val="auto"/>
          <w:sz w:val="22"/>
          <w:szCs w:val="22"/>
        </w:rPr>
        <w:t>ą</w:t>
      </w:r>
      <w:r w:rsidRPr="00F17ECC">
        <w:rPr>
          <w:rFonts w:ascii="Trebuchet MS" w:hAnsi="Trebuchet MS"/>
          <w:color w:val="auto"/>
          <w:sz w:val="22"/>
          <w:szCs w:val="22"/>
        </w:rPr>
        <w:t xml:space="preserve">. </w:t>
      </w:r>
    </w:p>
    <w:p w14:paraId="43E5AE76" w14:textId="77777777" w:rsidR="00024E42" w:rsidRDefault="00024E42" w:rsidP="00C9122C">
      <w:pPr>
        <w:pStyle w:val="Default"/>
        <w:ind w:firstLine="720"/>
        <w:jc w:val="both"/>
        <w:rPr>
          <w:rFonts w:ascii="Trebuchet MS" w:hAnsi="Trebuchet MS"/>
          <w:b/>
          <w:color w:val="auto"/>
          <w:sz w:val="22"/>
          <w:szCs w:val="22"/>
        </w:rPr>
      </w:pPr>
    </w:p>
    <w:p w14:paraId="1D457154" w14:textId="38B8631C" w:rsidR="007453CD" w:rsidRPr="00024E42" w:rsidRDefault="007453CD" w:rsidP="00C9122C">
      <w:pPr>
        <w:pStyle w:val="Default"/>
        <w:ind w:firstLine="720"/>
        <w:jc w:val="both"/>
        <w:rPr>
          <w:rFonts w:ascii="Trebuchet MS" w:hAnsi="Trebuchet MS"/>
          <w:b/>
          <w:color w:val="auto"/>
          <w:sz w:val="22"/>
          <w:szCs w:val="22"/>
        </w:rPr>
      </w:pPr>
      <w:r w:rsidRPr="00024E42">
        <w:rPr>
          <w:rFonts w:ascii="Trebuchet MS" w:hAnsi="Trebuchet MS"/>
          <w:b/>
          <w:color w:val="auto"/>
          <w:sz w:val="22"/>
          <w:szCs w:val="22"/>
        </w:rPr>
        <w:t>1</w:t>
      </w:r>
      <w:r w:rsidR="00412C3E">
        <w:rPr>
          <w:rFonts w:ascii="Trebuchet MS" w:hAnsi="Trebuchet MS"/>
          <w:b/>
          <w:color w:val="auto"/>
          <w:sz w:val="22"/>
          <w:szCs w:val="22"/>
        </w:rPr>
        <w:t>8</w:t>
      </w:r>
      <w:r w:rsidRPr="00024E42">
        <w:rPr>
          <w:rFonts w:ascii="Trebuchet MS" w:hAnsi="Trebuchet MS"/>
          <w:b/>
          <w:color w:val="auto"/>
          <w:sz w:val="22"/>
          <w:szCs w:val="22"/>
        </w:rPr>
        <w:t>.</w:t>
      </w:r>
      <w:r w:rsidRPr="00024E42">
        <w:rPr>
          <w:rFonts w:ascii="Trebuchet MS" w:hAnsi="Trebuchet MS"/>
          <w:color w:val="auto"/>
          <w:sz w:val="22"/>
          <w:szCs w:val="22"/>
        </w:rPr>
        <w:t xml:space="preserve"> </w:t>
      </w:r>
      <w:r w:rsidRPr="00024E42">
        <w:rPr>
          <w:rFonts w:ascii="Trebuchet MS" w:hAnsi="Trebuchet MS"/>
          <w:b/>
          <w:color w:val="auto"/>
          <w:sz w:val="22"/>
          <w:szCs w:val="22"/>
        </w:rPr>
        <w:t>Jeigu pastebi</w:t>
      </w:r>
      <w:r w:rsidR="00024E42">
        <w:rPr>
          <w:rFonts w:ascii="Trebuchet MS" w:hAnsi="Trebuchet MS"/>
          <w:b/>
          <w:color w:val="auto"/>
          <w:sz w:val="22"/>
          <w:szCs w:val="22"/>
        </w:rPr>
        <w:t>ma</w:t>
      </w:r>
      <w:r w:rsidRPr="00024E42">
        <w:rPr>
          <w:rFonts w:ascii="Trebuchet MS" w:hAnsi="Trebuchet MS"/>
          <w:b/>
          <w:color w:val="auto"/>
          <w:sz w:val="22"/>
          <w:szCs w:val="22"/>
        </w:rPr>
        <w:t xml:space="preserve">, kad faktinė kontroliuojamojo sandorio kaina neatitinka IRP (t. y. išeina iš ištiestosios rankos intervalo ribų), kaip dažnai </w:t>
      </w:r>
      <w:r w:rsidR="00024E42">
        <w:rPr>
          <w:rFonts w:ascii="Trebuchet MS" w:hAnsi="Trebuchet MS"/>
          <w:b/>
          <w:color w:val="auto"/>
          <w:sz w:val="22"/>
          <w:szCs w:val="22"/>
        </w:rPr>
        <w:t xml:space="preserve">ji gali būti </w:t>
      </w:r>
      <w:r w:rsidRPr="00024E42">
        <w:rPr>
          <w:rFonts w:ascii="Trebuchet MS" w:hAnsi="Trebuchet MS"/>
          <w:b/>
          <w:color w:val="auto"/>
          <w:sz w:val="22"/>
          <w:szCs w:val="22"/>
        </w:rPr>
        <w:t>koreguo</w:t>
      </w:r>
      <w:r w:rsidR="00024E42">
        <w:rPr>
          <w:rFonts w:ascii="Trebuchet MS" w:hAnsi="Trebuchet MS"/>
          <w:b/>
          <w:color w:val="auto"/>
          <w:sz w:val="22"/>
          <w:szCs w:val="22"/>
        </w:rPr>
        <w:t>jama</w:t>
      </w:r>
      <w:r w:rsidRPr="00024E42">
        <w:rPr>
          <w:rFonts w:ascii="Trebuchet MS" w:hAnsi="Trebuchet MS"/>
          <w:b/>
          <w:color w:val="auto"/>
          <w:sz w:val="22"/>
          <w:szCs w:val="22"/>
        </w:rPr>
        <w:t>?</w:t>
      </w:r>
    </w:p>
    <w:p w14:paraId="43CC18B4" w14:textId="29C5517D" w:rsidR="007453CD" w:rsidRDefault="007453CD" w:rsidP="00C9122C">
      <w:pPr>
        <w:spacing w:after="0"/>
        <w:ind w:firstLine="720"/>
        <w:jc w:val="both"/>
        <w:rPr>
          <w:rFonts w:ascii="Trebuchet MS" w:hAnsi="Trebuchet MS"/>
          <w:szCs w:val="22"/>
          <w:lang w:val="lt-LT"/>
        </w:rPr>
      </w:pPr>
      <w:r w:rsidRPr="00024E42">
        <w:rPr>
          <w:rFonts w:ascii="Trebuchet MS" w:hAnsi="Trebuchet MS"/>
          <w:szCs w:val="22"/>
          <w:lang w:val="lt-LT"/>
        </w:rPr>
        <w:t xml:space="preserve">Teisės aktai neįtvirtina, kokiu dažnumu įmonės gali ar turi atlikti </w:t>
      </w:r>
      <w:r w:rsidR="00A8030C">
        <w:rPr>
          <w:rFonts w:ascii="Trebuchet MS" w:hAnsi="Trebuchet MS"/>
          <w:szCs w:val="22"/>
          <w:lang w:val="lt-LT"/>
        </w:rPr>
        <w:t xml:space="preserve">kontroliuojamųjų sandorių kainų </w:t>
      </w:r>
      <w:r w:rsidRPr="00024E42">
        <w:rPr>
          <w:rFonts w:ascii="Trebuchet MS" w:hAnsi="Trebuchet MS"/>
          <w:szCs w:val="22"/>
          <w:lang w:val="lt-LT"/>
        </w:rPr>
        <w:t xml:space="preserve">koregavimus, nustačiusios, kad faktiškas atlygis neatitinka IRP. Koregavimų periodiškumą tikslinga nustatyti </w:t>
      </w:r>
      <w:r w:rsidR="004D4A2F" w:rsidRPr="00F17ECC">
        <w:rPr>
          <w:rFonts w:ascii="Trebuchet MS" w:hAnsi="Trebuchet MS"/>
          <w:lang w:val="lt-LT"/>
        </w:rPr>
        <w:t xml:space="preserve">kontroliuojamųjų sandorių </w:t>
      </w:r>
      <w:r w:rsidRPr="00024E42">
        <w:rPr>
          <w:rFonts w:ascii="Trebuchet MS" w:hAnsi="Trebuchet MS"/>
          <w:szCs w:val="22"/>
          <w:lang w:val="lt-LT"/>
        </w:rPr>
        <w:t>kainodaros pagrindimo dokumentuose, tačiau tokie koregavimai neturėtų būti dažni. Esminiu laikomas metų galo (atliekamas einamojo laikotarpio pabaigoje ar kitų metų pačioje pradžioje) koregavimas, kuomet yra peržiūrimi visų finansinių metų duomenys ir atliekamas galutinis koregavimas, įvertinus faktinius duomenis</w:t>
      </w:r>
      <w:r w:rsidR="00024E42">
        <w:rPr>
          <w:rFonts w:ascii="Trebuchet MS" w:hAnsi="Trebuchet MS"/>
          <w:szCs w:val="22"/>
          <w:lang w:val="lt-LT"/>
        </w:rPr>
        <w:t>.</w:t>
      </w:r>
    </w:p>
    <w:p w14:paraId="4F379B7A" w14:textId="5D56009E" w:rsidR="00024E42" w:rsidRPr="00024E42" w:rsidRDefault="00024E42" w:rsidP="00024E42">
      <w:pPr>
        <w:spacing w:after="0"/>
        <w:ind w:firstLine="720"/>
        <w:jc w:val="both"/>
        <w:rPr>
          <w:rFonts w:ascii="Trebuchet MS" w:hAnsi="Trebuchet MS"/>
          <w:szCs w:val="22"/>
          <w:lang w:val="lt-LT"/>
        </w:rPr>
      </w:pPr>
      <w:r w:rsidRPr="00024E42">
        <w:rPr>
          <w:rFonts w:ascii="Trebuchet MS" w:hAnsi="Trebuchet MS"/>
          <w:szCs w:val="22"/>
          <w:lang w:val="lt-LT"/>
        </w:rPr>
        <w:t xml:space="preserve">Kai atliekami dažni </w:t>
      </w:r>
      <w:r w:rsidR="00E656FC">
        <w:rPr>
          <w:rFonts w:ascii="Trebuchet MS" w:hAnsi="Trebuchet MS"/>
          <w:szCs w:val="22"/>
          <w:lang w:val="lt-LT"/>
        </w:rPr>
        <w:t xml:space="preserve">kontroliuojamojo sandorio </w:t>
      </w:r>
      <w:r w:rsidRPr="00024E42">
        <w:rPr>
          <w:rFonts w:ascii="Trebuchet MS" w:hAnsi="Trebuchet MS"/>
          <w:szCs w:val="22"/>
          <w:lang w:val="lt-LT"/>
        </w:rPr>
        <w:t xml:space="preserve">kainų koregavimai, nesilaikoma </w:t>
      </w:r>
      <w:r w:rsidR="004D4A2F" w:rsidRPr="00F17ECC">
        <w:rPr>
          <w:rFonts w:ascii="Trebuchet MS" w:hAnsi="Trebuchet MS"/>
          <w:lang w:val="lt-LT"/>
        </w:rPr>
        <w:t xml:space="preserve">kontroliuojamųjų sandorių </w:t>
      </w:r>
      <w:r w:rsidRPr="00024E42">
        <w:rPr>
          <w:rFonts w:ascii="Trebuchet MS" w:hAnsi="Trebuchet MS"/>
          <w:szCs w:val="22"/>
          <w:lang w:val="lt-LT"/>
        </w:rPr>
        <w:t xml:space="preserve">kainodaros pagrindimo dokumentuose nustatytos kainos nustatymo ir koregavimo tvarkos, mokesčių administratorius, vadovaudamasis Kainodaros taisyklių  57 punktu, gali nepripažinti tokių koregavimų, jeigu nustato, jog kaina iki koregavimo būtų patekusi į ištiestosios rankos intervalą, tačiau ji tendencingai buvo nuolat koreguojama, siekiant ją priartinti prie kraštinės ištiestosios rankos intervalo reikšmės. </w:t>
      </w:r>
    </w:p>
    <w:p w14:paraId="07DC8A2F" w14:textId="77777777" w:rsidR="007453CD" w:rsidRPr="00F17ECC" w:rsidRDefault="007453CD" w:rsidP="00C9122C">
      <w:pPr>
        <w:pStyle w:val="Default"/>
        <w:ind w:firstLine="720"/>
        <w:jc w:val="both"/>
        <w:rPr>
          <w:rFonts w:ascii="Trebuchet MS" w:hAnsi="Trebuchet MS"/>
          <w:color w:val="auto"/>
          <w:sz w:val="22"/>
          <w:szCs w:val="22"/>
        </w:rPr>
      </w:pPr>
    </w:p>
    <w:p w14:paraId="32ADE9EB" w14:textId="1896F3E4" w:rsidR="007453CD" w:rsidRPr="00F17ECC" w:rsidRDefault="007453CD" w:rsidP="00C9122C">
      <w:pPr>
        <w:pStyle w:val="Default"/>
        <w:ind w:firstLine="720"/>
        <w:jc w:val="both"/>
        <w:rPr>
          <w:rFonts w:ascii="Trebuchet MS" w:hAnsi="Trebuchet MS"/>
          <w:b/>
          <w:color w:val="auto"/>
          <w:sz w:val="22"/>
          <w:szCs w:val="22"/>
        </w:rPr>
      </w:pPr>
      <w:r w:rsidRPr="00F17ECC">
        <w:rPr>
          <w:rFonts w:ascii="Trebuchet MS" w:hAnsi="Trebuchet MS"/>
          <w:b/>
          <w:color w:val="auto"/>
          <w:sz w:val="22"/>
          <w:szCs w:val="22"/>
        </w:rPr>
        <w:t>1</w:t>
      </w:r>
      <w:r w:rsidR="00412C3E">
        <w:rPr>
          <w:rFonts w:ascii="Trebuchet MS" w:hAnsi="Trebuchet MS"/>
          <w:b/>
          <w:color w:val="auto"/>
          <w:sz w:val="22"/>
          <w:szCs w:val="22"/>
        </w:rPr>
        <w:t>9</w:t>
      </w:r>
      <w:r w:rsidRPr="00F17ECC">
        <w:rPr>
          <w:rFonts w:ascii="Trebuchet MS" w:hAnsi="Trebuchet MS"/>
          <w:b/>
          <w:color w:val="auto"/>
          <w:sz w:val="22"/>
          <w:szCs w:val="22"/>
        </w:rPr>
        <w:t>. Jeigu pasibaigus mokestiniam laikotarpiui, kontroliuojamojo sandorio kaina patenka į ištiestosios rankos intervalą, ar gali</w:t>
      </w:r>
      <w:r w:rsidR="00E656FC">
        <w:rPr>
          <w:rFonts w:ascii="Trebuchet MS" w:hAnsi="Trebuchet MS"/>
          <w:b/>
          <w:color w:val="auto"/>
          <w:sz w:val="22"/>
          <w:szCs w:val="22"/>
        </w:rPr>
        <w:t>ma</w:t>
      </w:r>
      <w:r w:rsidRPr="00F17ECC">
        <w:rPr>
          <w:rFonts w:ascii="Trebuchet MS" w:hAnsi="Trebuchet MS"/>
          <w:b/>
          <w:color w:val="auto"/>
          <w:sz w:val="22"/>
          <w:szCs w:val="22"/>
        </w:rPr>
        <w:t xml:space="preserve"> koreguoti tokio sandorio kainą, pasir</w:t>
      </w:r>
      <w:r w:rsidR="00E656FC">
        <w:rPr>
          <w:rFonts w:ascii="Trebuchet MS" w:hAnsi="Trebuchet MS"/>
          <w:b/>
          <w:color w:val="auto"/>
          <w:sz w:val="22"/>
          <w:szCs w:val="22"/>
        </w:rPr>
        <w:t xml:space="preserve">enkant </w:t>
      </w:r>
      <w:r w:rsidRPr="00F17ECC">
        <w:rPr>
          <w:rFonts w:ascii="Trebuchet MS" w:hAnsi="Trebuchet MS"/>
          <w:b/>
          <w:color w:val="auto"/>
          <w:sz w:val="22"/>
          <w:szCs w:val="22"/>
        </w:rPr>
        <w:t>kitą kainos dydį, esantį ištiestosios rankos intervale?</w:t>
      </w:r>
    </w:p>
    <w:p w14:paraId="54F3A2BA" w14:textId="46C13ED3" w:rsidR="007453CD" w:rsidRPr="008F6C0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xml:space="preserve">Bendroji taisyklė, įtirtinta Kainodaros taisyklių 57 p., yra ta, kad sandorio kaina arba pelnas, patenkantys į ištiestosios rankos intervalą, nekoreguojami. </w:t>
      </w:r>
      <w:r w:rsidRPr="008F6C0C">
        <w:rPr>
          <w:rFonts w:ascii="Trebuchet MS" w:hAnsi="Trebuchet MS"/>
          <w:color w:val="auto"/>
          <w:sz w:val="22"/>
          <w:szCs w:val="22"/>
        </w:rPr>
        <w:t xml:space="preserve">Jeigu </w:t>
      </w:r>
      <w:proofErr w:type="spellStart"/>
      <w:r w:rsidRPr="008F6C0C">
        <w:rPr>
          <w:rFonts w:ascii="Trebuchet MS" w:hAnsi="Trebuchet MS"/>
          <w:i/>
          <w:color w:val="auto"/>
          <w:sz w:val="22"/>
          <w:szCs w:val="22"/>
        </w:rPr>
        <w:t>ex</w:t>
      </w:r>
      <w:proofErr w:type="spellEnd"/>
      <w:r w:rsidRPr="008F6C0C">
        <w:rPr>
          <w:rFonts w:ascii="Trebuchet MS" w:hAnsi="Trebuchet MS"/>
          <w:i/>
          <w:color w:val="auto"/>
          <w:sz w:val="22"/>
          <w:szCs w:val="22"/>
        </w:rPr>
        <w:t xml:space="preserve"> </w:t>
      </w:r>
      <w:proofErr w:type="spellStart"/>
      <w:r w:rsidRPr="008F6C0C">
        <w:rPr>
          <w:rFonts w:ascii="Trebuchet MS" w:hAnsi="Trebuchet MS"/>
          <w:i/>
          <w:color w:val="auto"/>
          <w:sz w:val="22"/>
          <w:szCs w:val="22"/>
        </w:rPr>
        <w:t>post</w:t>
      </w:r>
      <w:proofErr w:type="spellEnd"/>
      <w:r w:rsidRPr="008F6C0C">
        <w:rPr>
          <w:rFonts w:ascii="Trebuchet MS" w:hAnsi="Trebuchet MS"/>
          <w:color w:val="auto"/>
          <w:sz w:val="22"/>
          <w:szCs w:val="22"/>
        </w:rPr>
        <w:t xml:space="preserve"> būdu (po kontroliuojamojo sandorio įvykdymo, pvz., pasibaigus mokestiniam laikotarpiui) mokesčių mokėtojas vykdytų </w:t>
      </w:r>
      <w:r w:rsidR="00A8030C">
        <w:rPr>
          <w:rFonts w:ascii="Trebuchet MS" w:hAnsi="Trebuchet MS"/>
          <w:color w:val="auto"/>
          <w:sz w:val="22"/>
          <w:szCs w:val="22"/>
        </w:rPr>
        <w:t xml:space="preserve">kontroliuojamųjų sandorių kainos </w:t>
      </w:r>
      <w:r w:rsidRPr="008F6C0C">
        <w:rPr>
          <w:rFonts w:ascii="Trebuchet MS" w:hAnsi="Trebuchet MS"/>
          <w:color w:val="auto"/>
          <w:sz w:val="22"/>
          <w:szCs w:val="22"/>
        </w:rPr>
        <w:t>koregavimus keisdamas kainos, patenkančios į ištiestosios rankos intervalą dydį, kita reikšme iš šio intervalo, tai suponuotų poreikį kvestionuoti visą IRP atitinkančiu įvardijamą intervalą, kaip sudarytą iš nepatikimų reikšmių ir atitinkamai lemtų poreikį iš naujo pagrįsti kainą ir</w:t>
      </w:r>
      <w:r w:rsidR="00A8030C">
        <w:rPr>
          <w:rFonts w:ascii="Trebuchet MS" w:hAnsi="Trebuchet MS"/>
          <w:color w:val="auto"/>
          <w:sz w:val="22"/>
          <w:szCs w:val="22"/>
        </w:rPr>
        <w:t xml:space="preserve"> </w:t>
      </w:r>
      <w:r w:rsidRPr="008F6C0C">
        <w:rPr>
          <w:rFonts w:ascii="Trebuchet MS" w:hAnsi="Trebuchet MS"/>
          <w:color w:val="auto"/>
          <w:sz w:val="22"/>
          <w:szCs w:val="22"/>
        </w:rPr>
        <w:t>/</w:t>
      </w:r>
      <w:r w:rsidR="00A8030C">
        <w:rPr>
          <w:rFonts w:ascii="Trebuchet MS" w:hAnsi="Trebuchet MS"/>
          <w:color w:val="auto"/>
          <w:sz w:val="22"/>
          <w:szCs w:val="22"/>
        </w:rPr>
        <w:t xml:space="preserve"> </w:t>
      </w:r>
      <w:r w:rsidRPr="008F6C0C">
        <w:rPr>
          <w:rFonts w:ascii="Trebuchet MS" w:hAnsi="Trebuchet MS"/>
          <w:color w:val="auto"/>
          <w:sz w:val="22"/>
          <w:szCs w:val="22"/>
        </w:rPr>
        <w:t xml:space="preserve">ar įrodyti, kodėl naujai parinktoji kaina laikytina atitinkančia IRP, o ankstesnioji, patenkanti į ištiestosios rankos intervalą, laikoma nebeatitinkančia </w:t>
      </w:r>
      <w:r w:rsidR="00985276" w:rsidRPr="008F6C0C">
        <w:rPr>
          <w:rFonts w:ascii="Trebuchet MS" w:hAnsi="Trebuchet MS"/>
          <w:color w:val="auto"/>
          <w:sz w:val="22"/>
          <w:szCs w:val="22"/>
        </w:rPr>
        <w:t>IRP</w:t>
      </w:r>
      <w:r w:rsidRPr="008F6C0C">
        <w:rPr>
          <w:rFonts w:ascii="Trebuchet MS" w:hAnsi="Trebuchet MS"/>
          <w:color w:val="auto"/>
          <w:sz w:val="22"/>
          <w:szCs w:val="22"/>
        </w:rPr>
        <w:t xml:space="preserve"> ir todėl yra koreguojama.</w:t>
      </w:r>
    </w:p>
    <w:p w14:paraId="21B6A8EA" w14:textId="7B93DC1C" w:rsidR="007453CD" w:rsidRPr="00F17ECC" w:rsidRDefault="007453CD" w:rsidP="00C9122C">
      <w:pPr>
        <w:pStyle w:val="Default"/>
        <w:ind w:firstLine="720"/>
        <w:jc w:val="both"/>
        <w:rPr>
          <w:rFonts w:ascii="Trebuchet MS" w:hAnsi="Trebuchet MS"/>
          <w:color w:val="FF0000"/>
          <w:sz w:val="22"/>
          <w:szCs w:val="22"/>
        </w:rPr>
      </w:pPr>
      <w:r w:rsidRPr="00F17ECC">
        <w:rPr>
          <w:rFonts w:ascii="Trebuchet MS" w:hAnsi="Trebuchet MS"/>
          <w:color w:val="auto"/>
          <w:sz w:val="22"/>
          <w:szCs w:val="22"/>
        </w:rPr>
        <w:t>Tačiau Kainodaros taisyklių 57 p., numato išimtį</w:t>
      </w:r>
      <w:r w:rsidR="008F6C0C">
        <w:rPr>
          <w:rFonts w:ascii="Trebuchet MS" w:hAnsi="Trebuchet MS"/>
          <w:color w:val="auto"/>
          <w:sz w:val="22"/>
          <w:szCs w:val="22"/>
        </w:rPr>
        <w:t>, t. y.</w:t>
      </w:r>
      <w:r w:rsidRPr="00F17ECC">
        <w:rPr>
          <w:rFonts w:ascii="Trebuchet MS" w:hAnsi="Trebuchet MS"/>
          <w:color w:val="auto"/>
          <w:sz w:val="22"/>
          <w:szCs w:val="22"/>
        </w:rPr>
        <w:t xml:space="preserve"> įrodžius sandorio sąlygų pasikeitimus, lemiančius kito kainos dydžio iš ištiestosios rankos intervalo pasirinkimą, ištiestosios rankos intervale esanti kaina gali būti koreguojama. </w:t>
      </w:r>
      <w:r w:rsidRPr="008F6C0C">
        <w:rPr>
          <w:rFonts w:ascii="Trebuchet MS" w:hAnsi="Trebuchet MS"/>
          <w:color w:val="auto"/>
          <w:sz w:val="22"/>
          <w:szCs w:val="22"/>
        </w:rPr>
        <w:t>Tokiais išimtiniais atvejais galėtų būti situacijos, kai dėl sandorio vykdymo ypatumų, kilo poreikis atlikti daugiau funkcijų nei buvo numatyta (pvz., vykdant projektą, iškilo nenumatytos problemos, kurioms išspręsti buvo būtina surasti netradicinius sprendimus, pareikalavusius aukštos kompetencijos darbuotojų žinių). Mokesčių mokėtojas privalo pagrįsti šiuos sąlygų pasikeitimus. Pažymėtina, kad jeigu sandorio sąlygos pakito tiek, kad siekiant įvykdyti šį sandorį, vykdytojas turėjo pradėti vykdyti naujas funkcijas, keitėsi jo funkcinis profilis, tai rodytų poreikį iš naujo atlikti palyginimų paiešką ir nustatyti naują ištiestosios rankos intervalą, o ne mėginti koreguoti kainą, pagal ne</w:t>
      </w:r>
      <w:r w:rsidR="008F6C0C">
        <w:rPr>
          <w:rFonts w:ascii="Trebuchet MS" w:hAnsi="Trebuchet MS"/>
          <w:color w:val="auto"/>
          <w:sz w:val="22"/>
          <w:szCs w:val="22"/>
        </w:rPr>
        <w:t>tinkamų</w:t>
      </w:r>
      <w:r w:rsidRPr="008F6C0C">
        <w:rPr>
          <w:rFonts w:ascii="Trebuchet MS" w:hAnsi="Trebuchet MS"/>
          <w:color w:val="auto"/>
          <w:sz w:val="22"/>
          <w:szCs w:val="22"/>
        </w:rPr>
        <w:t xml:space="preserve"> palyginimų duomenis.  </w:t>
      </w:r>
    </w:p>
    <w:p w14:paraId="424A85F0" w14:textId="7A6B55D3" w:rsidR="007453CD" w:rsidRPr="00F17ECC" w:rsidRDefault="007453CD" w:rsidP="00C9122C">
      <w:pPr>
        <w:pStyle w:val="Default"/>
        <w:ind w:firstLine="720"/>
        <w:jc w:val="both"/>
        <w:rPr>
          <w:rFonts w:ascii="Trebuchet MS" w:hAnsi="Trebuchet MS"/>
          <w:color w:val="auto"/>
          <w:sz w:val="22"/>
          <w:szCs w:val="22"/>
        </w:rPr>
      </w:pPr>
    </w:p>
    <w:p w14:paraId="40010ED8" w14:textId="16A14548" w:rsidR="007453CD" w:rsidRPr="00F17ECC" w:rsidRDefault="00412C3E" w:rsidP="00C9122C">
      <w:pPr>
        <w:pStyle w:val="Default"/>
        <w:ind w:firstLine="720"/>
        <w:jc w:val="both"/>
        <w:rPr>
          <w:rFonts w:ascii="Trebuchet MS" w:hAnsi="Trebuchet MS"/>
          <w:color w:val="auto"/>
          <w:sz w:val="22"/>
          <w:szCs w:val="22"/>
        </w:rPr>
      </w:pPr>
      <w:r>
        <w:rPr>
          <w:rFonts w:ascii="Trebuchet MS" w:hAnsi="Trebuchet MS"/>
          <w:b/>
          <w:color w:val="auto"/>
          <w:sz w:val="22"/>
          <w:szCs w:val="22"/>
        </w:rPr>
        <w:t>20</w:t>
      </w:r>
      <w:r w:rsidR="007453CD" w:rsidRPr="00F17ECC">
        <w:rPr>
          <w:rFonts w:ascii="Trebuchet MS" w:hAnsi="Trebuchet MS"/>
          <w:b/>
          <w:color w:val="auto"/>
          <w:sz w:val="22"/>
          <w:szCs w:val="22"/>
        </w:rPr>
        <w:t>.</w:t>
      </w:r>
      <w:r w:rsidR="007453CD" w:rsidRPr="00F17ECC">
        <w:rPr>
          <w:rFonts w:ascii="Trebuchet MS" w:hAnsi="Trebuchet MS"/>
          <w:color w:val="auto"/>
          <w:sz w:val="22"/>
          <w:szCs w:val="22"/>
        </w:rPr>
        <w:t xml:space="preserve"> </w:t>
      </w:r>
      <w:r w:rsidR="007453CD" w:rsidRPr="00F17ECC">
        <w:rPr>
          <w:rFonts w:ascii="Trebuchet MS" w:hAnsi="Trebuchet MS"/>
          <w:b/>
          <w:color w:val="auto"/>
          <w:sz w:val="22"/>
          <w:szCs w:val="22"/>
        </w:rPr>
        <w:t>Ar ištiestosios rankos intervalo median</w:t>
      </w:r>
      <w:r w:rsidR="00236736">
        <w:rPr>
          <w:rFonts w:ascii="Trebuchet MS" w:hAnsi="Trebuchet MS"/>
          <w:b/>
          <w:color w:val="auto"/>
          <w:sz w:val="22"/>
          <w:szCs w:val="22"/>
        </w:rPr>
        <w:t>a laikoma</w:t>
      </w:r>
      <w:r w:rsidR="007453CD" w:rsidRPr="00F17ECC">
        <w:rPr>
          <w:rFonts w:ascii="Trebuchet MS" w:hAnsi="Trebuchet MS"/>
          <w:b/>
          <w:color w:val="auto"/>
          <w:sz w:val="22"/>
          <w:szCs w:val="22"/>
        </w:rPr>
        <w:t xml:space="preserve"> patikimiausiu </w:t>
      </w:r>
      <w:r w:rsidR="00236736">
        <w:rPr>
          <w:rFonts w:ascii="Trebuchet MS" w:hAnsi="Trebuchet MS"/>
          <w:b/>
          <w:color w:val="auto"/>
          <w:sz w:val="22"/>
          <w:szCs w:val="22"/>
        </w:rPr>
        <w:t xml:space="preserve">ištiestosios rankos </w:t>
      </w:r>
      <w:r w:rsidR="007453CD" w:rsidRPr="00F17ECC">
        <w:rPr>
          <w:rFonts w:ascii="Trebuchet MS" w:hAnsi="Trebuchet MS"/>
          <w:b/>
          <w:color w:val="auto"/>
          <w:sz w:val="22"/>
          <w:szCs w:val="22"/>
        </w:rPr>
        <w:t>intervalo dydžiu?</w:t>
      </w:r>
    </w:p>
    <w:p w14:paraId="03A35954" w14:textId="0772F368" w:rsidR="007453CD"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Jeigu ištiestosios rankos intervalas sudarytas naudojant vienodai patikimus palyginamuosius duomenis, kiekvieną reikšmė, esanti šiame intervale, laikoma vienodai patikima, todėl medianos rodiklis nelaikomas patikimesniu, nei kitos intervalo reikšmės. Mediana tėra vienas iš centrinę tendenciją aibėje atspindinčių taškų. Medianos, kaip statistinio dydžio, pritaikymas nėra laikomas tinkamu pagrindimu šio rodiklio pasirinkimui, vykdant </w:t>
      </w:r>
      <w:proofErr w:type="spellStart"/>
      <w:r w:rsidRPr="00351DEB">
        <w:rPr>
          <w:rFonts w:ascii="Trebuchet MS" w:hAnsi="Trebuchet MS"/>
          <w:i/>
          <w:szCs w:val="22"/>
          <w:lang w:val="lt-LT"/>
        </w:rPr>
        <w:t>ex</w:t>
      </w:r>
      <w:proofErr w:type="spellEnd"/>
      <w:r w:rsidRPr="00351DEB">
        <w:rPr>
          <w:rFonts w:ascii="Trebuchet MS" w:hAnsi="Trebuchet MS"/>
          <w:i/>
          <w:szCs w:val="22"/>
          <w:lang w:val="lt-LT"/>
        </w:rPr>
        <w:t xml:space="preserve"> </w:t>
      </w:r>
      <w:proofErr w:type="spellStart"/>
      <w:r w:rsidRPr="00351DEB">
        <w:rPr>
          <w:rFonts w:ascii="Trebuchet MS" w:hAnsi="Trebuchet MS"/>
          <w:i/>
          <w:szCs w:val="22"/>
          <w:lang w:val="lt-LT"/>
        </w:rPr>
        <w:t>post</w:t>
      </w:r>
      <w:proofErr w:type="spellEnd"/>
      <w:r w:rsidRPr="00F17ECC">
        <w:rPr>
          <w:rFonts w:ascii="Trebuchet MS" w:hAnsi="Trebuchet MS"/>
          <w:szCs w:val="22"/>
          <w:lang w:val="lt-LT"/>
        </w:rPr>
        <w:t xml:space="preserve"> kontroliuojamųjų sandorių kainų koregavimus, tiek tais atvejais, kai kontroliuojamojo sandorio kaina buvo intervale, tiek kai išėjo iš intervalo ribų. </w:t>
      </w:r>
    </w:p>
    <w:p w14:paraId="150EC90D" w14:textId="0F6A6724" w:rsidR="009D6C2E" w:rsidRPr="00F17ECC" w:rsidRDefault="009D6C2E" w:rsidP="00C9122C">
      <w:pPr>
        <w:autoSpaceDE w:val="0"/>
        <w:autoSpaceDN w:val="0"/>
        <w:adjustRightInd w:val="0"/>
        <w:spacing w:after="0"/>
        <w:ind w:firstLine="720"/>
        <w:jc w:val="both"/>
        <w:rPr>
          <w:rFonts w:ascii="Trebuchet MS" w:hAnsi="Trebuchet MS"/>
          <w:szCs w:val="22"/>
          <w:lang w:val="lt-LT"/>
        </w:rPr>
      </w:pPr>
      <w:r>
        <w:rPr>
          <w:rFonts w:ascii="Trebuchet MS" w:hAnsi="Trebuchet MS"/>
          <w:szCs w:val="22"/>
          <w:lang w:val="lt-LT"/>
        </w:rPr>
        <w:t>Jeigu abejojama sudaryto intervalo aibės patikimum</w:t>
      </w:r>
      <w:r w:rsidR="00A43AAD">
        <w:rPr>
          <w:rFonts w:ascii="Trebuchet MS" w:hAnsi="Trebuchet MS"/>
          <w:szCs w:val="22"/>
          <w:lang w:val="lt-LT"/>
        </w:rPr>
        <w:t>u</w:t>
      </w:r>
      <w:r>
        <w:rPr>
          <w:rFonts w:ascii="Trebuchet MS" w:hAnsi="Trebuchet MS"/>
          <w:szCs w:val="22"/>
          <w:lang w:val="lt-LT"/>
        </w:rPr>
        <w:t xml:space="preserve"> dėl identifikuojamų palyginimų trūkumų, turi būti peržiūrimas visas intervalas, eliminuojant </w:t>
      </w:r>
      <w:r w:rsidRPr="00546753">
        <w:rPr>
          <w:rFonts w:ascii="Trebuchet MS" w:hAnsi="Trebuchet MS"/>
          <w:szCs w:val="22"/>
          <w:lang w:val="lt-LT"/>
        </w:rPr>
        <w:t xml:space="preserve">minėtus </w:t>
      </w:r>
      <w:r w:rsidR="00A43AAD" w:rsidRPr="00546753">
        <w:rPr>
          <w:rFonts w:ascii="Trebuchet MS" w:hAnsi="Trebuchet MS"/>
          <w:szCs w:val="22"/>
          <w:lang w:val="lt-LT"/>
        </w:rPr>
        <w:t xml:space="preserve">netinkamus </w:t>
      </w:r>
      <w:r w:rsidRPr="00546753">
        <w:rPr>
          <w:rFonts w:ascii="Trebuchet MS" w:hAnsi="Trebuchet MS"/>
          <w:szCs w:val="22"/>
          <w:lang w:val="lt-LT"/>
        </w:rPr>
        <w:t>palyginimus</w:t>
      </w:r>
      <w:r>
        <w:rPr>
          <w:rFonts w:ascii="Trebuchet MS" w:hAnsi="Trebuchet MS"/>
          <w:szCs w:val="22"/>
          <w:lang w:val="lt-LT"/>
        </w:rPr>
        <w:t xml:space="preserve"> ar atliekant papildomus koregavimus skirtumų eliminavimui, bet ne pasirenkant centrinę nepatikimos skaičių aibės reikšmę (medianą). </w:t>
      </w:r>
    </w:p>
    <w:p w14:paraId="2CA68B5D" w14:textId="77777777" w:rsidR="007453CD" w:rsidRPr="00F17ECC" w:rsidRDefault="007453CD" w:rsidP="00C9122C">
      <w:pPr>
        <w:pStyle w:val="Default"/>
        <w:ind w:firstLine="720"/>
        <w:jc w:val="both"/>
        <w:rPr>
          <w:rFonts w:ascii="Trebuchet MS" w:hAnsi="Trebuchet MS"/>
          <w:color w:val="auto"/>
          <w:sz w:val="22"/>
          <w:szCs w:val="22"/>
        </w:rPr>
      </w:pPr>
    </w:p>
    <w:p w14:paraId="0C3D29D5" w14:textId="3E67130D" w:rsidR="007453CD" w:rsidRPr="00F17ECC" w:rsidRDefault="003F7833" w:rsidP="00C9122C">
      <w:pPr>
        <w:pStyle w:val="Default"/>
        <w:ind w:firstLine="720"/>
        <w:jc w:val="both"/>
        <w:rPr>
          <w:rFonts w:ascii="Trebuchet MS" w:hAnsi="Trebuchet MS"/>
          <w:color w:val="auto"/>
          <w:sz w:val="22"/>
          <w:szCs w:val="22"/>
        </w:rPr>
      </w:pPr>
      <w:r>
        <w:rPr>
          <w:rFonts w:ascii="Trebuchet MS" w:hAnsi="Trebuchet MS"/>
          <w:b/>
          <w:color w:val="auto"/>
          <w:sz w:val="22"/>
          <w:szCs w:val="22"/>
        </w:rPr>
        <w:t>2</w:t>
      </w:r>
      <w:r w:rsidR="00412C3E">
        <w:rPr>
          <w:rFonts w:ascii="Trebuchet MS" w:hAnsi="Trebuchet MS"/>
          <w:b/>
          <w:color w:val="auto"/>
          <w:sz w:val="22"/>
          <w:szCs w:val="22"/>
        </w:rPr>
        <w:t>1</w:t>
      </w:r>
      <w:r w:rsidR="007453CD" w:rsidRPr="00F17ECC">
        <w:rPr>
          <w:rFonts w:ascii="Trebuchet MS" w:hAnsi="Trebuchet MS"/>
          <w:b/>
          <w:color w:val="auto"/>
          <w:sz w:val="22"/>
          <w:szCs w:val="22"/>
        </w:rPr>
        <w:t>.</w:t>
      </w:r>
      <w:r w:rsidR="007453CD" w:rsidRPr="00F17ECC">
        <w:rPr>
          <w:rFonts w:ascii="Trebuchet MS" w:hAnsi="Trebuchet MS"/>
          <w:color w:val="auto"/>
          <w:sz w:val="22"/>
          <w:szCs w:val="22"/>
        </w:rPr>
        <w:t xml:space="preserve"> </w:t>
      </w:r>
      <w:r w:rsidR="007453CD" w:rsidRPr="00F17ECC">
        <w:rPr>
          <w:rFonts w:ascii="Trebuchet MS" w:hAnsi="Trebuchet MS"/>
          <w:b/>
          <w:color w:val="auto"/>
          <w:sz w:val="22"/>
          <w:szCs w:val="22"/>
        </w:rPr>
        <w:t>Kada mokesčių mokėtojas gali taikyti ištiestosios rankos intervalo medianą?</w:t>
      </w:r>
    </w:p>
    <w:p w14:paraId="217A88F4" w14:textId="77777777"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Bet kurį dydį iš ištiestosios rankos intervalo (taip pat ir medianą), mokesčių mokėtojas gali taikyti:</w:t>
      </w:r>
    </w:p>
    <w:p w14:paraId="74E4B16F" w14:textId="77777777" w:rsidR="007453CD" w:rsidRPr="00F17ECC" w:rsidRDefault="007453CD" w:rsidP="00C9122C">
      <w:pPr>
        <w:pStyle w:val="Default"/>
        <w:ind w:firstLine="720"/>
        <w:jc w:val="both"/>
        <w:rPr>
          <w:rFonts w:ascii="Trebuchet MS" w:hAnsi="Trebuchet MS"/>
          <w:sz w:val="22"/>
          <w:szCs w:val="22"/>
        </w:rPr>
      </w:pPr>
      <w:r w:rsidRPr="00F17ECC">
        <w:rPr>
          <w:rFonts w:ascii="Trebuchet MS" w:hAnsi="Trebuchet MS"/>
          <w:color w:val="auto"/>
          <w:sz w:val="22"/>
          <w:szCs w:val="22"/>
        </w:rPr>
        <w:t xml:space="preserve">- </w:t>
      </w:r>
      <w:r w:rsidRPr="00F17ECC">
        <w:rPr>
          <w:rFonts w:ascii="Trebuchet MS" w:hAnsi="Trebuchet MS"/>
          <w:sz w:val="22"/>
          <w:szCs w:val="22"/>
        </w:rPr>
        <w:t xml:space="preserve">nustatydamas </w:t>
      </w:r>
      <w:proofErr w:type="spellStart"/>
      <w:r w:rsidRPr="00351DEB">
        <w:rPr>
          <w:rFonts w:ascii="Trebuchet MS" w:hAnsi="Trebuchet MS"/>
          <w:i/>
          <w:sz w:val="22"/>
          <w:szCs w:val="22"/>
        </w:rPr>
        <w:t>ex</w:t>
      </w:r>
      <w:proofErr w:type="spellEnd"/>
      <w:r w:rsidRPr="00351DEB">
        <w:rPr>
          <w:rFonts w:ascii="Trebuchet MS" w:hAnsi="Trebuchet MS"/>
          <w:i/>
          <w:sz w:val="22"/>
          <w:szCs w:val="22"/>
        </w:rPr>
        <w:t xml:space="preserve"> ante</w:t>
      </w:r>
      <w:r w:rsidRPr="00F17ECC">
        <w:rPr>
          <w:rFonts w:ascii="Trebuchet MS" w:hAnsi="Trebuchet MS"/>
          <w:sz w:val="22"/>
          <w:szCs w:val="22"/>
        </w:rPr>
        <w:t xml:space="preserve"> kontroliuojamojo sandorio kainą pagal palyginamosios nepriklausomos kainos kainodaros metodą;</w:t>
      </w:r>
    </w:p>
    <w:p w14:paraId="0477E364" w14:textId="68F3C700" w:rsidR="007453CD" w:rsidRPr="00351DEB" w:rsidRDefault="007453CD" w:rsidP="00C9122C">
      <w:pPr>
        <w:pStyle w:val="Default"/>
        <w:ind w:firstLine="720"/>
        <w:jc w:val="both"/>
        <w:rPr>
          <w:rFonts w:ascii="Trebuchet MS" w:hAnsi="Trebuchet MS"/>
          <w:sz w:val="22"/>
          <w:szCs w:val="22"/>
        </w:rPr>
      </w:pPr>
      <w:r w:rsidRPr="00F17ECC">
        <w:rPr>
          <w:rFonts w:ascii="Trebuchet MS" w:hAnsi="Trebuchet MS"/>
          <w:sz w:val="22"/>
          <w:szCs w:val="22"/>
        </w:rPr>
        <w:t>- nustatydamas planines kontroliuojamojo sandorio kainas</w:t>
      </w:r>
      <w:r w:rsidR="00351DEB">
        <w:rPr>
          <w:rFonts w:ascii="Trebuchet MS" w:hAnsi="Trebuchet MS"/>
          <w:sz w:val="22"/>
          <w:szCs w:val="22"/>
        </w:rPr>
        <w:t xml:space="preserve"> pagal kitus kainodaros metodus, nei </w:t>
      </w:r>
      <w:r w:rsidR="00351DEB" w:rsidRPr="00F17ECC">
        <w:rPr>
          <w:rFonts w:ascii="Trebuchet MS" w:hAnsi="Trebuchet MS"/>
          <w:sz w:val="22"/>
          <w:szCs w:val="22"/>
        </w:rPr>
        <w:t xml:space="preserve">palyginamosios nepriklausomos kainos </w:t>
      </w:r>
      <w:r w:rsidR="00351DEB" w:rsidRPr="00351DEB">
        <w:rPr>
          <w:rFonts w:ascii="Trebuchet MS" w:hAnsi="Trebuchet MS"/>
          <w:sz w:val="22"/>
          <w:szCs w:val="22"/>
        </w:rPr>
        <w:t>kainodaros metodas</w:t>
      </w:r>
      <w:r w:rsidR="00351DEB" w:rsidRPr="00351DEB">
        <w:rPr>
          <w:rStyle w:val="Komentaronuoroda"/>
          <w:rFonts w:ascii="Trebuchet MS" w:eastAsia="MS Mincho" w:hAnsi="Trebuchet MS"/>
          <w:color w:val="auto"/>
          <w:sz w:val="22"/>
          <w:szCs w:val="22"/>
          <w:lang w:eastAsia="ja-JP"/>
        </w:rPr>
        <w:t>;</w:t>
      </w:r>
    </w:p>
    <w:p w14:paraId="065B34BF" w14:textId="6D7A577A"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351DEB">
        <w:rPr>
          <w:rFonts w:ascii="Trebuchet MS" w:hAnsi="Trebuchet MS"/>
          <w:szCs w:val="22"/>
          <w:lang w:val="lt-LT"/>
        </w:rPr>
        <w:t xml:space="preserve">-  kai įrodo sandorio sąlygų pasikeitimus, kurie lemia kito kainos dydžio iš IRP </w:t>
      </w:r>
      <w:r w:rsidR="00CE5154" w:rsidRPr="00351DEB">
        <w:rPr>
          <w:rFonts w:ascii="Trebuchet MS" w:hAnsi="Trebuchet MS"/>
          <w:szCs w:val="22"/>
          <w:lang w:val="lt-LT"/>
        </w:rPr>
        <w:t xml:space="preserve">atitinkančio </w:t>
      </w:r>
      <w:r w:rsidRPr="00351DEB">
        <w:rPr>
          <w:rFonts w:ascii="Trebuchet MS" w:hAnsi="Trebuchet MS"/>
          <w:szCs w:val="22"/>
          <w:lang w:val="lt-LT"/>
        </w:rPr>
        <w:t xml:space="preserve">intervalo pasirinkimą (pvz., atitinkamu laikotarpiu faktiškai atliko sudėtingesnių, papildomų funkcijų). Medianos, </w:t>
      </w:r>
      <w:r w:rsidR="00FB55C1">
        <w:rPr>
          <w:rFonts w:ascii="Trebuchet MS" w:hAnsi="Trebuchet MS"/>
          <w:szCs w:val="22"/>
          <w:lang w:val="lt-LT"/>
        </w:rPr>
        <w:t xml:space="preserve">vien </w:t>
      </w:r>
      <w:r w:rsidRPr="00351DEB">
        <w:rPr>
          <w:rFonts w:ascii="Trebuchet MS" w:hAnsi="Trebuchet MS"/>
          <w:szCs w:val="22"/>
          <w:lang w:val="lt-LT"/>
        </w:rPr>
        <w:t>kaip statistinio dydžio,</w:t>
      </w:r>
      <w:r w:rsidR="00351E1A">
        <w:rPr>
          <w:rFonts w:ascii="Trebuchet MS" w:hAnsi="Trebuchet MS"/>
          <w:szCs w:val="22"/>
          <w:lang w:val="lt-LT"/>
        </w:rPr>
        <w:t xml:space="preserve"> be papildomo</w:t>
      </w:r>
      <w:r w:rsidR="00640576">
        <w:rPr>
          <w:rFonts w:ascii="Trebuchet MS" w:hAnsi="Trebuchet MS"/>
          <w:szCs w:val="22"/>
          <w:lang w:val="lt-LT"/>
        </w:rPr>
        <w:t>s argumentacijos</w:t>
      </w:r>
      <w:r w:rsidR="00247AA4">
        <w:rPr>
          <w:rFonts w:ascii="Trebuchet MS" w:hAnsi="Trebuchet MS"/>
          <w:szCs w:val="22"/>
          <w:lang w:val="lt-LT"/>
        </w:rPr>
        <w:t>,</w:t>
      </w:r>
      <w:r w:rsidR="00FB55C1">
        <w:rPr>
          <w:rFonts w:ascii="Trebuchet MS" w:hAnsi="Trebuchet MS"/>
          <w:szCs w:val="22"/>
          <w:lang w:val="lt-LT"/>
        </w:rPr>
        <w:t xml:space="preserve"> </w:t>
      </w:r>
      <w:r w:rsidRPr="00351DEB">
        <w:rPr>
          <w:rFonts w:ascii="Trebuchet MS" w:hAnsi="Trebuchet MS"/>
          <w:szCs w:val="22"/>
          <w:lang w:val="lt-LT"/>
        </w:rPr>
        <w:t>pritaikymas</w:t>
      </w:r>
      <w:r w:rsidRPr="00F17ECC">
        <w:rPr>
          <w:rFonts w:ascii="Trebuchet MS" w:hAnsi="Trebuchet MS"/>
          <w:szCs w:val="22"/>
          <w:lang w:val="lt-LT"/>
        </w:rPr>
        <w:t xml:space="preserve"> nėra laikomas tinkamu pagrindimu šio rodiklio pasirinkimui.</w:t>
      </w:r>
      <w:r w:rsidR="00351DEB">
        <w:rPr>
          <w:rFonts w:ascii="Trebuchet MS" w:hAnsi="Trebuchet MS"/>
          <w:szCs w:val="22"/>
          <w:lang w:val="lt-LT"/>
        </w:rPr>
        <w:t xml:space="preserve"> </w:t>
      </w:r>
      <w:r w:rsidR="00351DEB" w:rsidRPr="00351DEB">
        <w:rPr>
          <w:rFonts w:ascii="Trebuchet MS" w:hAnsi="Trebuchet MS"/>
          <w:i/>
          <w:szCs w:val="22"/>
          <w:lang w:val="lt-LT"/>
        </w:rPr>
        <w:t xml:space="preserve">Plačiau apie tai žr. </w:t>
      </w:r>
      <w:r w:rsidR="00412C3E">
        <w:rPr>
          <w:rFonts w:ascii="Trebuchet MS" w:hAnsi="Trebuchet MS"/>
          <w:i/>
          <w:szCs w:val="22"/>
          <w:lang w:val="lt-LT"/>
        </w:rPr>
        <w:t>20</w:t>
      </w:r>
      <w:r w:rsidR="00351DEB" w:rsidRPr="00351DEB">
        <w:rPr>
          <w:rFonts w:ascii="Trebuchet MS" w:hAnsi="Trebuchet MS"/>
          <w:i/>
          <w:szCs w:val="22"/>
          <w:lang w:val="lt-LT"/>
        </w:rPr>
        <w:t xml:space="preserve"> klausimą</w:t>
      </w:r>
      <w:r w:rsidR="00351DEB">
        <w:rPr>
          <w:rFonts w:ascii="Trebuchet MS" w:hAnsi="Trebuchet MS"/>
          <w:szCs w:val="22"/>
          <w:lang w:val="lt-LT"/>
        </w:rPr>
        <w:t>.</w:t>
      </w:r>
    </w:p>
    <w:p w14:paraId="74032673" w14:textId="77777777" w:rsidR="007453CD" w:rsidRPr="00F17ECC" w:rsidRDefault="007453CD" w:rsidP="00C9122C">
      <w:pPr>
        <w:pStyle w:val="Default"/>
        <w:ind w:firstLine="720"/>
        <w:jc w:val="both"/>
        <w:rPr>
          <w:rFonts w:ascii="Trebuchet MS" w:hAnsi="Trebuchet MS"/>
          <w:color w:val="auto"/>
          <w:sz w:val="22"/>
          <w:szCs w:val="22"/>
        </w:rPr>
      </w:pPr>
    </w:p>
    <w:p w14:paraId="37E70A48" w14:textId="654C9DAA"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b/>
          <w:color w:val="auto"/>
          <w:sz w:val="22"/>
          <w:szCs w:val="22"/>
        </w:rPr>
        <w:t>2</w:t>
      </w:r>
      <w:r w:rsidR="00412C3E">
        <w:rPr>
          <w:rFonts w:ascii="Trebuchet MS" w:hAnsi="Trebuchet MS"/>
          <w:b/>
          <w:color w:val="auto"/>
          <w:sz w:val="22"/>
          <w:szCs w:val="22"/>
        </w:rPr>
        <w:t>2</w:t>
      </w:r>
      <w:r w:rsidRPr="00F17ECC">
        <w:rPr>
          <w:rFonts w:ascii="Trebuchet MS" w:hAnsi="Trebuchet MS"/>
          <w:b/>
          <w:color w:val="auto"/>
          <w:sz w:val="22"/>
          <w:szCs w:val="22"/>
        </w:rPr>
        <w:t>.</w:t>
      </w:r>
      <w:r w:rsidRPr="00F17ECC">
        <w:rPr>
          <w:rFonts w:ascii="Trebuchet MS" w:hAnsi="Trebuchet MS"/>
          <w:color w:val="auto"/>
          <w:sz w:val="22"/>
          <w:szCs w:val="22"/>
        </w:rPr>
        <w:t xml:space="preserve"> </w:t>
      </w:r>
      <w:r w:rsidRPr="00F17ECC">
        <w:rPr>
          <w:rFonts w:ascii="Trebuchet MS" w:hAnsi="Trebuchet MS"/>
          <w:b/>
          <w:color w:val="auto"/>
          <w:sz w:val="22"/>
          <w:szCs w:val="22"/>
        </w:rPr>
        <w:t>Kada mokesčių administratorius gali taikyti ištiestosios rankos intervalo medianą</w:t>
      </w:r>
      <w:r w:rsidRPr="00F17ECC">
        <w:rPr>
          <w:rFonts w:ascii="Trebuchet MS" w:hAnsi="Trebuchet MS"/>
          <w:color w:val="auto"/>
          <w:sz w:val="22"/>
          <w:szCs w:val="22"/>
        </w:rPr>
        <w:t>?</w:t>
      </w:r>
    </w:p>
    <w:p w14:paraId="3582336A" w14:textId="005D1F60"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xml:space="preserve">Mokesčių administratorius, vykdydamas mokesčių mokėtojo mokestinį patikrinimą, vadovaudamasis Kainodaros taisyklių 56 punktu, nustatęs, jog kontroliuojamojo sandorio kaina </w:t>
      </w:r>
      <w:r w:rsidRPr="00F17ECC">
        <w:rPr>
          <w:rFonts w:ascii="Trebuchet MS" w:hAnsi="Trebuchet MS"/>
          <w:color w:val="auto"/>
          <w:sz w:val="22"/>
          <w:szCs w:val="22"/>
        </w:rPr>
        <w:lastRenderedPageBreak/>
        <w:t>neatitinka IRP (t. y. nepatenka į ištiestosios rankos intervalą), koreguoja tokio sandorio kainą iki ištiestosios rankos intervalo medianos rodiklio, jeigu:</w:t>
      </w:r>
    </w:p>
    <w:p w14:paraId="5EFB3961" w14:textId="77777777"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neturi tikslesnių duomenų, leidžiančių parinkti labiausiai konkrečiu atveju tinkamą reikšmę iš ištiestosios rankos intervalo, ir</w:t>
      </w:r>
    </w:p>
    <w:p w14:paraId="66D53034" w14:textId="77777777"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xml:space="preserve">- nėra kitų aplinkybių bei mokesčių mokėtojas nepateikia pakankamų įrodymų, jog IRP atitinkanti kaina arba pelnas yra kitokie, ir </w:t>
      </w:r>
    </w:p>
    <w:p w14:paraId="1BA71F4C" w14:textId="70978884"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mokesčių mokėtojas mokestinio patikrinimo metu nevengia bendradarbiauti su mokesčių administratoriumi, dėl ko nekyla poreikio pritaikyti Kainodaros tai</w:t>
      </w:r>
      <w:r w:rsidR="000B5031" w:rsidRPr="00F17ECC">
        <w:rPr>
          <w:rFonts w:ascii="Trebuchet MS" w:hAnsi="Trebuchet MS"/>
          <w:color w:val="auto"/>
          <w:sz w:val="22"/>
          <w:szCs w:val="22"/>
        </w:rPr>
        <w:t>s</w:t>
      </w:r>
      <w:r w:rsidRPr="00F17ECC">
        <w:rPr>
          <w:rFonts w:ascii="Trebuchet MS" w:hAnsi="Trebuchet MS"/>
          <w:color w:val="auto"/>
          <w:sz w:val="22"/>
          <w:szCs w:val="22"/>
        </w:rPr>
        <w:t>yklių 56 p. antrojo sakinio nuostatos (t. y. poreikio pasirinkti bet kokią (mažiau palankią) ištiestosios rankos intervalo reikšmę, kas vertintina, kaip poveikio priemonė mokesčių mokėtojui, vengusiam bendradarbiauti ir tokiu būdu sudariusiam kliūtis mokesčių administratoriui tinkamai nustatyti IRP atitinkančią kainą arba pelną).</w:t>
      </w:r>
    </w:p>
    <w:p w14:paraId="7568695E" w14:textId="11D3F30B" w:rsidR="007453CD" w:rsidRPr="00F17ECC" w:rsidRDefault="007453CD" w:rsidP="00C9122C">
      <w:pPr>
        <w:pStyle w:val="Default"/>
        <w:ind w:firstLine="720"/>
        <w:jc w:val="both"/>
        <w:rPr>
          <w:rFonts w:ascii="Trebuchet MS" w:hAnsi="Trebuchet MS"/>
          <w:color w:val="auto"/>
          <w:sz w:val="22"/>
          <w:szCs w:val="22"/>
        </w:rPr>
      </w:pPr>
      <w:r w:rsidRPr="00F17ECC">
        <w:rPr>
          <w:rFonts w:ascii="Trebuchet MS" w:hAnsi="Trebuchet MS"/>
          <w:color w:val="auto"/>
          <w:sz w:val="22"/>
          <w:szCs w:val="22"/>
        </w:rPr>
        <w:t xml:space="preserve">Ištiestosios rankos intervalo medianos dydis gali būti taikomas ir tuomet, kai mokesčių administratorius priima įpareigojantį sprendimą dėl būsimojo kontroliuojamojo sandorio kainodaros </w:t>
      </w:r>
      <w:r w:rsidR="00E2563F">
        <w:rPr>
          <w:rFonts w:ascii="Trebuchet MS" w:hAnsi="Trebuchet MS"/>
          <w:color w:val="auto"/>
          <w:sz w:val="22"/>
          <w:szCs w:val="22"/>
        </w:rPr>
        <w:t>taisyklių</w:t>
      </w:r>
      <w:r w:rsidRPr="00F17ECC">
        <w:rPr>
          <w:rFonts w:ascii="Trebuchet MS" w:hAnsi="Trebuchet MS"/>
          <w:color w:val="auto"/>
          <w:sz w:val="22"/>
          <w:szCs w:val="22"/>
        </w:rPr>
        <w:t>, kuriame nustato tokį kontroliuojamojo sandorio kainos dydį; taip pat kai mokesčių administratorius, kaip kompetentingas asmuo, vykdydamas abipusio susitarimo procedūras su kitos valstybės kompetentingais asmenimis, sutaria konkrečiu atveju taikyti medianos rodiklį.</w:t>
      </w:r>
    </w:p>
    <w:p w14:paraId="419F3548" w14:textId="77777777" w:rsidR="007453CD" w:rsidRPr="00F17ECC" w:rsidRDefault="007453CD" w:rsidP="00C9122C">
      <w:pPr>
        <w:pStyle w:val="Default"/>
        <w:ind w:firstLine="720"/>
        <w:jc w:val="both"/>
        <w:rPr>
          <w:rFonts w:ascii="Trebuchet MS" w:hAnsi="Trebuchet MS"/>
          <w:color w:val="auto"/>
          <w:sz w:val="22"/>
          <w:szCs w:val="22"/>
        </w:rPr>
      </w:pPr>
    </w:p>
    <w:p w14:paraId="13CBE7FF" w14:textId="694ED341" w:rsidR="007453CD" w:rsidRPr="00F17ECC" w:rsidRDefault="007453CD" w:rsidP="00C9122C">
      <w:pPr>
        <w:pStyle w:val="Default"/>
        <w:ind w:firstLine="720"/>
        <w:jc w:val="both"/>
        <w:rPr>
          <w:rFonts w:ascii="Trebuchet MS" w:hAnsi="Trebuchet MS"/>
          <w:b/>
          <w:sz w:val="22"/>
          <w:szCs w:val="22"/>
        </w:rPr>
      </w:pPr>
      <w:r w:rsidRPr="00F17ECC">
        <w:rPr>
          <w:rFonts w:ascii="Trebuchet MS" w:hAnsi="Trebuchet MS"/>
          <w:b/>
          <w:sz w:val="22"/>
          <w:szCs w:val="22"/>
        </w:rPr>
        <w:t>2</w:t>
      </w:r>
      <w:r w:rsidR="00412C3E">
        <w:rPr>
          <w:rFonts w:ascii="Trebuchet MS" w:hAnsi="Trebuchet MS"/>
          <w:b/>
          <w:sz w:val="22"/>
          <w:szCs w:val="22"/>
        </w:rPr>
        <w:t>3</w:t>
      </w:r>
      <w:r w:rsidRPr="00F17ECC">
        <w:rPr>
          <w:rFonts w:ascii="Trebuchet MS" w:hAnsi="Trebuchet MS"/>
          <w:b/>
          <w:sz w:val="22"/>
          <w:szCs w:val="22"/>
        </w:rPr>
        <w:t>.</w:t>
      </w:r>
      <w:r w:rsidRPr="00F17ECC">
        <w:rPr>
          <w:rFonts w:ascii="Trebuchet MS" w:hAnsi="Trebuchet MS"/>
          <w:sz w:val="22"/>
          <w:szCs w:val="22"/>
        </w:rPr>
        <w:t xml:space="preserve"> </w:t>
      </w:r>
      <w:r w:rsidRPr="00F17ECC">
        <w:rPr>
          <w:rFonts w:ascii="Trebuchet MS" w:hAnsi="Trebuchet MS"/>
          <w:b/>
          <w:sz w:val="22"/>
          <w:szCs w:val="22"/>
        </w:rPr>
        <w:t>Ar gali</w:t>
      </w:r>
      <w:r w:rsidR="00470FE5">
        <w:rPr>
          <w:rFonts w:ascii="Trebuchet MS" w:hAnsi="Trebuchet MS"/>
          <w:b/>
          <w:sz w:val="22"/>
          <w:szCs w:val="22"/>
        </w:rPr>
        <w:t>ma</w:t>
      </w:r>
      <w:r w:rsidRPr="00F17ECC">
        <w:rPr>
          <w:rFonts w:ascii="Trebuchet MS" w:hAnsi="Trebuchet MS"/>
          <w:b/>
          <w:sz w:val="22"/>
          <w:szCs w:val="22"/>
        </w:rPr>
        <w:t xml:space="preserve"> taikyti tik dalį ištiestosios rankos intervalo? Ar yra kitų būdų be statistinių metodų, kurie leistų susiaurinti intervalą?</w:t>
      </w:r>
    </w:p>
    <w:p w14:paraId="108FD724" w14:textId="02879399" w:rsidR="007453CD" w:rsidRPr="00F17ECC" w:rsidRDefault="007453CD" w:rsidP="00C9122C">
      <w:pPr>
        <w:pStyle w:val="Default"/>
        <w:ind w:firstLine="720"/>
        <w:jc w:val="both"/>
        <w:rPr>
          <w:rFonts w:ascii="Trebuchet MS" w:hAnsi="Trebuchet MS"/>
          <w:sz w:val="22"/>
          <w:szCs w:val="22"/>
        </w:rPr>
      </w:pPr>
      <w:r w:rsidRPr="00F17ECC">
        <w:rPr>
          <w:rFonts w:ascii="Trebuchet MS" w:hAnsi="Trebuchet MS"/>
          <w:sz w:val="22"/>
          <w:szCs w:val="22"/>
        </w:rPr>
        <w:t>Sudarius aibę, kuri laikytina ištiestosios rankos intervalu, nustatant IRP atitinkančio sandor</w:t>
      </w:r>
      <w:r w:rsidR="00CE5154" w:rsidRPr="00F17ECC">
        <w:rPr>
          <w:rFonts w:ascii="Trebuchet MS" w:hAnsi="Trebuchet MS"/>
          <w:sz w:val="22"/>
          <w:szCs w:val="22"/>
        </w:rPr>
        <w:t>i</w:t>
      </w:r>
      <w:r w:rsidRPr="00F17ECC">
        <w:rPr>
          <w:rFonts w:ascii="Trebuchet MS" w:hAnsi="Trebuchet MS"/>
          <w:sz w:val="22"/>
          <w:szCs w:val="22"/>
        </w:rPr>
        <w:t xml:space="preserve">o kainą, turėtų būti atsižvelgiama į visą šią aibę. </w:t>
      </w:r>
    </w:p>
    <w:p w14:paraId="793D27B6" w14:textId="77777777" w:rsidR="007453CD" w:rsidRPr="00F17ECC" w:rsidRDefault="007453CD" w:rsidP="00C9122C">
      <w:pPr>
        <w:pStyle w:val="Default"/>
        <w:ind w:firstLine="720"/>
        <w:jc w:val="both"/>
        <w:rPr>
          <w:rFonts w:ascii="Trebuchet MS" w:hAnsi="Trebuchet MS"/>
          <w:sz w:val="22"/>
          <w:szCs w:val="22"/>
        </w:rPr>
      </w:pPr>
      <w:r w:rsidRPr="00F17ECC">
        <w:rPr>
          <w:rFonts w:ascii="Trebuchet MS" w:hAnsi="Trebuchet MS"/>
          <w:sz w:val="22"/>
          <w:szCs w:val="22"/>
        </w:rPr>
        <w:t xml:space="preserve">Praktikoje, atsižvelgiant į konkrečios situacijos specifiką ar rastus palyginamuosius duomenis, galimi reti atvejai, kai ištiestosios rankos intervalu gali būti pripažįstama ne visa pagal palyginimų rodiklius apskaičiuota skaičių aibė, jai pritaikius statistinius metodus (kvartilius), bet tik jos dalis, t. y.: nuo apatinio kvartilio iki medianos arba nuo medianos iki viršutinio kvartilio. </w:t>
      </w:r>
    </w:p>
    <w:p w14:paraId="3A2974B1" w14:textId="77777777" w:rsidR="007453CD" w:rsidRPr="00F17ECC" w:rsidRDefault="007453CD" w:rsidP="00C9122C">
      <w:pPr>
        <w:pStyle w:val="Default"/>
        <w:ind w:firstLine="720"/>
        <w:jc w:val="both"/>
        <w:rPr>
          <w:rFonts w:ascii="Trebuchet MS" w:hAnsi="Trebuchet MS"/>
          <w:sz w:val="22"/>
          <w:szCs w:val="22"/>
        </w:rPr>
      </w:pPr>
      <w:r w:rsidRPr="00F17ECC">
        <w:rPr>
          <w:rFonts w:ascii="Trebuchet MS" w:hAnsi="Trebuchet MS"/>
          <w:sz w:val="22"/>
          <w:szCs w:val="22"/>
        </w:rPr>
        <w:t xml:space="preserve">Pavyzdžiui, jeigu mokesčių mokėtojo vykdoma veikla apima sąlyginai daugiau funkcijų, rizikų nei atrinktų palyginamųjų įmonių vykdoma veikla, arba tam tikra veikla reikalauja daugiau žmogiškųjų išteklių ar laiko resursų nei palyginamųjų įmonių atveju, IRP atitinkanti kaina gali būti nustatoma tarp medianos ir viršutinio kvartilio. Priešingu atveju, jei mokesčio mokėtojo veikla apima sąlyginai mažiau funkcijų, IRP atitinkanti kaina gali būti nustatoma tarp apatinio kvartilio ir medianos / ne didesnė nei mediana. Tokiu atveju būtent pasirinkta aibės dalis ir laikytina ištiestosios rankos intervalu. </w:t>
      </w:r>
    </w:p>
    <w:p w14:paraId="636E82A4" w14:textId="1704D76F" w:rsidR="007453CD"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Bet kuri</w:t>
      </w:r>
      <w:r w:rsidR="003677DD">
        <w:rPr>
          <w:rFonts w:ascii="Trebuchet MS" w:hAnsi="Trebuchet MS"/>
          <w:szCs w:val="22"/>
          <w:lang w:val="lt-LT"/>
        </w:rPr>
        <w:t>u</w:t>
      </w:r>
      <w:r w:rsidRPr="00F17ECC">
        <w:rPr>
          <w:rFonts w:ascii="Trebuchet MS" w:hAnsi="Trebuchet MS"/>
          <w:szCs w:val="22"/>
          <w:lang w:val="lt-LT"/>
        </w:rPr>
        <w:t>o atveju, mokesčių mokėtojas turi argumentuotai pagrįsti savo pasirinkimą taikyti aprašytą aibės susiaurinimą. Toks siaurinimo būdas gali būti svarstomas tik išimtinais atvejais, kai nėra kitų patikimesnių būdų parinkti tinkamų palyginimų (t. y. nerandant analogišką funkcinį modelį vykdančių palyginamųjų įmonių, net ir išnaudojus protingas galimybes plėsti paieškos kriterijus, pvz., vertinant panašią (ne analogišką) veiklą vykdančias įmones ir kt.), atlikti patikimų koregavimų, užtikrinančių didesnį duomenų palyginamumą, ar pritaikyti kito kainodaros metodo.</w:t>
      </w:r>
    </w:p>
    <w:p w14:paraId="2FC97286" w14:textId="0B38E14C" w:rsidR="003677DD" w:rsidRPr="00F17ECC" w:rsidRDefault="003677DD" w:rsidP="00C9122C">
      <w:pPr>
        <w:autoSpaceDE w:val="0"/>
        <w:autoSpaceDN w:val="0"/>
        <w:adjustRightInd w:val="0"/>
        <w:spacing w:after="0"/>
        <w:ind w:firstLine="720"/>
        <w:jc w:val="both"/>
        <w:rPr>
          <w:rFonts w:ascii="Trebuchet MS" w:hAnsi="Trebuchet MS"/>
          <w:szCs w:val="22"/>
          <w:lang w:val="lt-LT"/>
        </w:rPr>
      </w:pPr>
      <w:r>
        <w:rPr>
          <w:rFonts w:ascii="Trebuchet MS" w:hAnsi="Trebuchet MS"/>
          <w:szCs w:val="22"/>
          <w:lang w:val="lt-LT"/>
        </w:rPr>
        <w:t xml:space="preserve">Pažymėtina, kad net ir argumentuotas intervalo susiaurinimas </w:t>
      </w:r>
      <w:r w:rsidR="0092077A">
        <w:rPr>
          <w:rFonts w:ascii="Trebuchet MS" w:hAnsi="Trebuchet MS"/>
          <w:szCs w:val="22"/>
          <w:lang w:val="lt-LT"/>
        </w:rPr>
        <w:t xml:space="preserve">neužtikrina tarptautinio dvigubo apmokestinimo kilimo </w:t>
      </w:r>
      <w:r w:rsidR="0092077A" w:rsidRPr="00546753">
        <w:rPr>
          <w:rFonts w:ascii="Trebuchet MS" w:hAnsi="Trebuchet MS"/>
          <w:szCs w:val="22"/>
          <w:lang w:val="lt-LT"/>
        </w:rPr>
        <w:t>grėsmės</w:t>
      </w:r>
      <w:r w:rsidR="00A43AAD" w:rsidRPr="00546753">
        <w:rPr>
          <w:rFonts w:ascii="Trebuchet MS" w:hAnsi="Trebuchet MS"/>
          <w:szCs w:val="22"/>
          <w:lang w:val="lt-LT"/>
        </w:rPr>
        <w:t xml:space="preserve"> išvengimo</w:t>
      </w:r>
      <w:r w:rsidR="0092077A" w:rsidRPr="00546753">
        <w:rPr>
          <w:rFonts w:ascii="Trebuchet MS" w:hAnsi="Trebuchet MS"/>
          <w:szCs w:val="22"/>
          <w:lang w:val="lt-LT"/>
        </w:rPr>
        <w:t>, jeigu</w:t>
      </w:r>
      <w:r w:rsidR="0092077A">
        <w:rPr>
          <w:rFonts w:ascii="Trebuchet MS" w:hAnsi="Trebuchet MS"/>
          <w:szCs w:val="22"/>
          <w:lang w:val="lt-LT"/>
        </w:rPr>
        <w:t xml:space="preserve"> </w:t>
      </w:r>
      <w:r>
        <w:rPr>
          <w:rFonts w:ascii="Trebuchet MS" w:hAnsi="Trebuchet MS"/>
          <w:szCs w:val="22"/>
          <w:lang w:val="lt-LT"/>
        </w:rPr>
        <w:t>kontroliuojamojo sandorio kontrahento valstybė</w:t>
      </w:r>
      <w:r w:rsidR="0092077A">
        <w:rPr>
          <w:rFonts w:ascii="Trebuchet MS" w:hAnsi="Trebuchet MS"/>
          <w:szCs w:val="22"/>
          <w:lang w:val="lt-LT"/>
        </w:rPr>
        <w:t>je nėra pripažįstamo</w:t>
      </w:r>
      <w:r>
        <w:rPr>
          <w:rFonts w:ascii="Trebuchet MS" w:hAnsi="Trebuchet MS"/>
          <w:szCs w:val="22"/>
          <w:lang w:val="lt-LT"/>
        </w:rPr>
        <w:t>s</w:t>
      </w:r>
      <w:r w:rsidR="0092077A">
        <w:rPr>
          <w:rFonts w:ascii="Trebuchet MS" w:hAnsi="Trebuchet MS"/>
          <w:szCs w:val="22"/>
          <w:lang w:val="lt-LT"/>
        </w:rPr>
        <w:t xml:space="preserve"> galimybės minėtu būdu siaurinti ištiestosios rankos intervalu laikytin</w:t>
      </w:r>
      <w:r w:rsidR="00FD515B">
        <w:rPr>
          <w:rFonts w:ascii="Trebuchet MS" w:hAnsi="Trebuchet MS"/>
          <w:szCs w:val="22"/>
          <w:lang w:val="lt-LT"/>
        </w:rPr>
        <w:t xml:space="preserve">os </w:t>
      </w:r>
      <w:r w:rsidR="0092077A">
        <w:rPr>
          <w:rFonts w:ascii="Trebuchet MS" w:hAnsi="Trebuchet MS"/>
          <w:szCs w:val="22"/>
          <w:lang w:val="lt-LT"/>
        </w:rPr>
        <w:t>aib</w:t>
      </w:r>
      <w:r w:rsidR="00FD515B">
        <w:rPr>
          <w:rFonts w:ascii="Trebuchet MS" w:hAnsi="Trebuchet MS"/>
          <w:szCs w:val="22"/>
          <w:lang w:val="lt-LT"/>
        </w:rPr>
        <w:t>ės</w:t>
      </w:r>
      <w:r w:rsidR="0092077A">
        <w:rPr>
          <w:rFonts w:ascii="Trebuchet MS" w:hAnsi="Trebuchet MS"/>
          <w:szCs w:val="22"/>
          <w:lang w:val="lt-LT"/>
        </w:rPr>
        <w:t xml:space="preserve">. Atitinkamai tokiais atvejais rekomenduojama įsivertinti padidėjusią tarptautinio dvigubo apmokestinimo riziką. </w:t>
      </w:r>
    </w:p>
    <w:p w14:paraId="2196AD57" w14:textId="77777777" w:rsidR="007453CD" w:rsidRPr="00F17ECC" w:rsidRDefault="007453CD" w:rsidP="00C9122C">
      <w:pPr>
        <w:autoSpaceDE w:val="0"/>
        <w:autoSpaceDN w:val="0"/>
        <w:adjustRightInd w:val="0"/>
        <w:spacing w:after="0"/>
        <w:jc w:val="both"/>
        <w:rPr>
          <w:rFonts w:ascii="Trebuchet MS" w:hAnsi="Trebuchet MS"/>
          <w:szCs w:val="22"/>
          <w:lang w:val="lt-LT"/>
        </w:rPr>
      </w:pPr>
    </w:p>
    <w:p w14:paraId="2C849B54" w14:textId="0B1F9D2E" w:rsidR="007453CD" w:rsidRPr="00546753" w:rsidRDefault="007453CD" w:rsidP="00C9122C">
      <w:pPr>
        <w:autoSpaceDE w:val="0"/>
        <w:autoSpaceDN w:val="0"/>
        <w:adjustRightInd w:val="0"/>
        <w:spacing w:after="0"/>
        <w:ind w:firstLine="720"/>
        <w:jc w:val="both"/>
        <w:rPr>
          <w:rFonts w:ascii="Trebuchet MS" w:hAnsi="Trebuchet MS"/>
          <w:b/>
          <w:szCs w:val="22"/>
          <w:lang w:val="lt-LT"/>
        </w:rPr>
      </w:pPr>
      <w:r w:rsidRPr="00F17ECC">
        <w:rPr>
          <w:rFonts w:ascii="Trebuchet MS" w:hAnsi="Trebuchet MS"/>
          <w:b/>
          <w:szCs w:val="22"/>
          <w:lang w:val="lt-LT"/>
        </w:rPr>
        <w:t>2</w:t>
      </w:r>
      <w:r w:rsidR="00412C3E">
        <w:rPr>
          <w:rFonts w:ascii="Trebuchet MS" w:hAnsi="Trebuchet MS"/>
          <w:b/>
          <w:szCs w:val="22"/>
          <w:lang w:val="lt-LT"/>
        </w:rPr>
        <w:t>4</w:t>
      </w:r>
      <w:r w:rsidRPr="00F17ECC">
        <w:rPr>
          <w:rFonts w:ascii="Trebuchet MS" w:hAnsi="Trebuchet MS"/>
          <w:b/>
          <w:szCs w:val="22"/>
          <w:lang w:val="lt-LT"/>
        </w:rPr>
        <w:t>.</w:t>
      </w:r>
      <w:r w:rsidRPr="00F17ECC">
        <w:rPr>
          <w:rFonts w:ascii="Trebuchet MS" w:hAnsi="Trebuchet MS"/>
          <w:szCs w:val="22"/>
          <w:lang w:val="lt-LT"/>
        </w:rPr>
        <w:t xml:space="preserve"> </w:t>
      </w:r>
      <w:r w:rsidR="00011449" w:rsidRPr="00011449">
        <w:rPr>
          <w:rFonts w:ascii="Trebuchet MS" w:hAnsi="Trebuchet MS"/>
          <w:b/>
          <w:szCs w:val="22"/>
          <w:lang w:val="lt-LT"/>
        </w:rPr>
        <w:t xml:space="preserve">Ar </w:t>
      </w:r>
      <w:r w:rsidRPr="00F17ECC">
        <w:rPr>
          <w:rFonts w:ascii="Trebuchet MS" w:hAnsi="Trebuchet MS"/>
          <w:b/>
          <w:szCs w:val="22"/>
          <w:lang w:val="lt-LT"/>
        </w:rPr>
        <w:t xml:space="preserve"> </w:t>
      </w:r>
      <w:r w:rsidR="00FB448F">
        <w:rPr>
          <w:rFonts w:ascii="Trebuchet MS" w:hAnsi="Trebuchet MS"/>
          <w:b/>
          <w:szCs w:val="22"/>
          <w:lang w:val="lt-LT"/>
        </w:rPr>
        <w:t>galima</w:t>
      </w:r>
      <w:r w:rsidRPr="00F17ECC">
        <w:rPr>
          <w:rFonts w:ascii="Trebuchet MS" w:hAnsi="Trebuchet MS"/>
          <w:b/>
          <w:szCs w:val="22"/>
          <w:lang w:val="lt-LT"/>
        </w:rPr>
        <w:t xml:space="preserve"> sudaryti vieną intervalą, kur</w:t>
      </w:r>
      <w:r w:rsidR="00FB448F">
        <w:rPr>
          <w:rFonts w:ascii="Trebuchet MS" w:hAnsi="Trebuchet MS"/>
          <w:b/>
          <w:szCs w:val="22"/>
          <w:lang w:val="lt-LT"/>
        </w:rPr>
        <w:t xml:space="preserve">is būtų </w:t>
      </w:r>
      <w:r w:rsidRPr="00F17ECC">
        <w:rPr>
          <w:rFonts w:ascii="Trebuchet MS" w:hAnsi="Trebuchet MS"/>
          <w:b/>
          <w:szCs w:val="22"/>
          <w:lang w:val="lt-LT"/>
        </w:rPr>
        <w:t>taik</w:t>
      </w:r>
      <w:r w:rsidR="00FB448F">
        <w:rPr>
          <w:rFonts w:ascii="Trebuchet MS" w:hAnsi="Trebuchet MS"/>
          <w:b/>
          <w:szCs w:val="22"/>
          <w:lang w:val="lt-LT"/>
        </w:rPr>
        <w:t>omas</w:t>
      </w:r>
      <w:r w:rsidRPr="00F17ECC">
        <w:rPr>
          <w:rFonts w:ascii="Trebuchet MS" w:hAnsi="Trebuchet MS"/>
          <w:b/>
          <w:szCs w:val="22"/>
          <w:lang w:val="lt-LT"/>
        </w:rPr>
        <w:t xml:space="preserve"> ne vienos, bet kelių rūšių kontroliuojamiesiems sandoriams (pvz., teikiant valdymo paslaugas, kurios susideda iš skirtingų </w:t>
      </w:r>
      <w:r w:rsidRPr="00546753">
        <w:rPr>
          <w:rFonts w:ascii="Trebuchet MS" w:hAnsi="Trebuchet MS"/>
          <w:b/>
          <w:szCs w:val="22"/>
          <w:lang w:val="lt-LT"/>
        </w:rPr>
        <w:t>rūšių</w:t>
      </w:r>
      <w:r w:rsidR="00A9581E" w:rsidRPr="00546753">
        <w:rPr>
          <w:rFonts w:ascii="Trebuchet MS" w:hAnsi="Trebuchet MS"/>
          <w:b/>
          <w:szCs w:val="22"/>
          <w:lang w:val="lt-LT"/>
        </w:rPr>
        <w:t>, tačiau panašaus sudėtingumo</w:t>
      </w:r>
      <w:r w:rsidRPr="00546753">
        <w:rPr>
          <w:rFonts w:ascii="Trebuchet MS" w:hAnsi="Trebuchet MS"/>
          <w:b/>
          <w:szCs w:val="22"/>
          <w:lang w:val="lt-LT"/>
        </w:rPr>
        <w:t xml:space="preserve"> paslaugų)</w:t>
      </w:r>
      <w:r w:rsidR="00011449" w:rsidRPr="00546753">
        <w:rPr>
          <w:rFonts w:ascii="Trebuchet MS" w:hAnsi="Trebuchet MS"/>
          <w:b/>
          <w:szCs w:val="22"/>
          <w:lang w:val="lt-LT"/>
        </w:rPr>
        <w:t>? Jeigu taip</w:t>
      </w:r>
      <w:r w:rsidRPr="00546753">
        <w:rPr>
          <w:rFonts w:ascii="Trebuchet MS" w:hAnsi="Trebuchet MS"/>
          <w:b/>
          <w:szCs w:val="22"/>
          <w:lang w:val="lt-LT"/>
        </w:rPr>
        <w:t>, ar gali</w:t>
      </w:r>
      <w:r w:rsidR="00FB448F" w:rsidRPr="00546753">
        <w:rPr>
          <w:rFonts w:ascii="Trebuchet MS" w:hAnsi="Trebuchet MS"/>
          <w:b/>
          <w:szCs w:val="22"/>
          <w:lang w:val="lt-LT"/>
        </w:rPr>
        <w:t>ma</w:t>
      </w:r>
      <w:r w:rsidRPr="00546753">
        <w:rPr>
          <w:rFonts w:ascii="Trebuchet MS" w:hAnsi="Trebuchet MS"/>
          <w:b/>
          <w:szCs w:val="22"/>
          <w:lang w:val="lt-LT"/>
        </w:rPr>
        <w:t xml:space="preserve"> atlikti vieną palyginimų paiešką, joje atitinkamai atr</w:t>
      </w:r>
      <w:r w:rsidR="00FB448F" w:rsidRPr="00546753">
        <w:rPr>
          <w:rFonts w:ascii="Trebuchet MS" w:hAnsi="Trebuchet MS"/>
          <w:b/>
          <w:szCs w:val="22"/>
          <w:lang w:val="lt-LT"/>
        </w:rPr>
        <w:t>enkant</w:t>
      </w:r>
      <w:r w:rsidRPr="00546753">
        <w:rPr>
          <w:rFonts w:ascii="Trebuchet MS" w:hAnsi="Trebuchet MS"/>
          <w:b/>
          <w:szCs w:val="22"/>
          <w:lang w:val="lt-LT"/>
        </w:rPr>
        <w:t xml:space="preserve"> skirtingas veiklas vykdančias palyginamąsias įmones?</w:t>
      </w:r>
    </w:p>
    <w:p w14:paraId="768A338D" w14:textId="1654E63E" w:rsidR="00FB448F" w:rsidRDefault="00011449" w:rsidP="00C9122C">
      <w:pPr>
        <w:autoSpaceDE w:val="0"/>
        <w:autoSpaceDN w:val="0"/>
        <w:adjustRightInd w:val="0"/>
        <w:spacing w:after="0"/>
        <w:ind w:firstLine="720"/>
        <w:jc w:val="both"/>
        <w:rPr>
          <w:rFonts w:ascii="Trebuchet MS" w:hAnsi="Trebuchet MS"/>
          <w:szCs w:val="22"/>
          <w:lang w:val="lt-LT"/>
        </w:rPr>
      </w:pPr>
      <w:r w:rsidRPr="00546753">
        <w:rPr>
          <w:rFonts w:ascii="Trebuchet MS" w:hAnsi="Trebuchet MS"/>
          <w:szCs w:val="22"/>
          <w:lang w:val="lt-LT"/>
        </w:rPr>
        <w:t>Taip, kelių rūšių kontroliuojamųjų sandorių, kurių pobūdis yra panašus (pvz., skirtingų rūšių</w:t>
      </w:r>
      <w:r w:rsidR="00A9581E" w:rsidRPr="00546753">
        <w:rPr>
          <w:rFonts w:ascii="Trebuchet MS" w:hAnsi="Trebuchet MS"/>
          <w:szCs w:val="22"/>
          <w:lang w:val="lt-LT"/>
        </w:rPr>
        <w:t>, tačiau panašaus sudėtingumo</w:t>
      </w:r>
      <w:r w:rsidRPr="00546753">
        <w:rPr>
          <w:rFonts w:ascii="Trebuchet MS" w:hAnsi="Trebuchet MS"/>
          <w:szCs w:val="22"/>
          <w:lang w:val="lt-LT"/>
        </w:rPr>
        <w:t xml:space="preserve"> paslaugų teikimas), kainų pagrindimui </w:t>
      </w:r>
      <w:r w:rsidR="006501E5" w:rsidRPr="00546753">
        <w:rPr>
          <w:rFonts w:ascii="Trebuchet MS" w:hAnsi="Trebuchet MS"/>
          <w:szCs w:val="22"/>
          <w:lang w:val="lt-LT"/>
        </w:rPr>
        <w:t xml:space="preserve">nėra draudžiama </w:t>
      </w:r>
      <w:r w:rsidRPr="00546753">
        <w:rPr>
          <w:rFonts w:ascii="Trebuchet MS" w:hAnsi="Trebuchet MS"/>
          <w:szCs w:val="22"/>
          <w:lang w:val="lt-LT"/>
        </w:rPr>
        <w:t>sudar</w:t>
      </w:r>
      <w:r w:rsidR="006501E5" w:rsidRPr="00546753">
        <w:rPr>
          <w:rFonts w:ascii="Trebuchet MS" w:hAnsi="Trebuchet MS"/>
          <w:szCs w:val="22"/>
          <w:lang w:val="lt-LT"/>
        </w:rPr>
        <w:t>yti</w:t>
      </w:r>
      <w:r w:rsidRPr="00546753">
        <w:rPr>
          <w:rFonts w:ascii="Trebuchet MS" w:hAnsi="Trebuchet MS"/>
          <w:szCs w:val="22"/>
          <w:lang w:val="lt-LT"/>
        </w:rPr>
        <w:t xml:space="preserve"> vie</w:t>
      </w:r>
      <w:r w:rsidR="006501E5" w:rsidRPr="00546753">
        <w:rPr>
          <w:rFonts w:ascii="Trebuchet MS" w:hAnsi="Trebuchet MS"/>
          <w:szCs w:val="22"/>
          <w:lang w:val="lt-LT"/>
        </w:rPr>
        <w:t>no bendro</w:t>
      </w:r>
      <w:r w:rsidRPr="00546753">
        <w:rPr>
          <w:rFonts w:ascii="Trebuchet MS" w:hAnsi="Trebuchet MS"/>
          <w:szCs w:val="22"/>
          <w:lang w:val="lt-LT"/>
        </w:rPr>
        <w:t xml:space="preserve"> interval</w:t>
      </w:r>
      <w:r w:rsidR="006501E5" w:rsidRPr="00546753">
        <w:rPr>
          <w:rFonts w:ascii="Trebuchet MS" w:hAnsi="Trebuchet MS"/>
          <w:szCs w:val="22"/>
          <w:lang w:val="lt-LT"/>
        </w:rPr>
        <w:t>o</w:t>
      </w:r>
      <w:r w:rsidR="007453CD" w:rsidRPr="00F17ECC">
        <w:rPr>
          <w:rFonts w:ascii="Trebuchet MS" w:hAnsi="Trebuchet MS"/>
          <w:szCs w:val="22"/>
          <w:lang w:val="lt-LT"/>
        </w:rPr>
        <w:t>, kuris apskaičiuojamas pagal skirting</w:t>
      </w:r>
      <w:r w:rsidR="00B108D4">
        <w:rPr>
          <w:rFonts w:ascii="Trebuchet MS" w:hAnsi="Trebuchet MS"/>
          <w:szCs w:val="22"/>
          <w:lang w:val="lt-LT"/>
        </w:rPr>
        <w:t>as</w:t>
      </w:r>
      <w:r w:rsidR="007453CD" w:rsidRPr="00F17ECC">
        <w:rPr>
          <w:rFonts w:ascii="Trebuchet MS" w:hAnsi="Trebuchet MS"/>
          <w:szCs w:val="22"/>
          <w:lang w:val="lt-LT"/>
        </w:rPr>
        <w:t xml:space="preserve"> veikl</w:t>
      </w:r>
      <w:r w:rsidR="00B108D4">
        <w:rPr>
          <w:rFonts w:ascii="Trebuchet MS" w:hAnsi="Trebuchet MS"/>
          <w:szCs w:val="22"/>
          <w:lang w:val="lt-LT"/>
        </w:rPr>
        <w:t>as vykdančių</w:t>
      </w:r>
      <w:r w:rsidR="007453CD" w:rsidRPr="00F17ECC">
        <w:rPr>
          <w:rFonts w:ascii="Trebuchet MS" w:hAnsi="Trebuchet MS"/>
          <w:szCs w:val="22"/>
          <w:lang w:val="lt-LT"/>
        </w:rPr>
        <w:t xml:space="preserve"> įmon</w:t>
      </w:r>
      <w:r w:rsidR="00B108D4">
        <w:rPr>
          <w:rFonts w:ascii="Trebuchet MS" w:hAnsi="Trebuchet MS"/>
          <w:szCs w:val="22"/>
          <w:lang w:val="lt-LT"/>
        </w:rPr>
        <w:t xml:space="preserve">ių </w:t>
      </w:r>
      <w:r w:rsidR="00B108D4">
        <w:rPr>
          <w:rFonts w:ascii="Trebuchet MS" w:hAnsi="Trebuchet MS"/>
          <w:szCs w:val="22"/>
          <w:lang w:val="lt-LT"/>
        </w:rPr>
        <w:lastRenderedPageBreak/>
        <w:t>duomeni</w:t>
      </w:r>
      <w:r w:rsidR="007453CD" w:rsidRPr="00F17ECC">
        <w:rPr>
          <w:rFonts w:ascii="Trebuchet MS" w:hAnsi="Trebuchet MS"/>
          <w:szCs w:val="22"/>
          <w:lang w:val="lt-LT"/>
        </w:rPr>
        <w:t xml:space="preserve">s. </w:t>
      </w:r>
      <w:r w:rsidR="00FB448F">
        <w:rPr>
          <w:rFonts w:ascii="Trebuchet MS" w:hAnsi="Trebuchet MS"/>
          <w:szCs w:val="22"/>
          <w:lang w:val="lt-LT"/>
        </w:rPr>
        <w:t>Tačiau m</w:t>
      </w:r>
      <w:r w:rsidR="00FB448F" w:rsidRPr="00F17ECC">
        <w:rPr>
          <w:rFonts w:ascii="Trebuchet MS" w:hAnsi="Trebuchet MS"/>
          <w:szCs w:val="22"/>
          <w:lang w:val="lt-LT"/>
        </w:rPr>
        <w:t xml:space="preserve">okesčių administratorius </w:t>
      </w:r>
      <w:r w:rsidR="006501E5">
        <w:rPr>
          <w:rFonts w:ascii="Trebuchet MS" w:hAnsi="Trebuchet MS"/>
          <w:szCs w:val="22"/>
          <w:lang w:val="lt-LT"/>
        </w:rPr>
        <w:t xml:space="preserve">tokį </w:t>
      </w:r>
      <w:r w:rsidR="00FB448F" w:rsidRPr="00F17ECC">
        <w:rPr>
          <w:rFonts w:ascii="Trebuchet MS" w:hAnsi="Trebuchet MS"/>
          <w:szCs w:val="22"/>
          <w:lang w:val="lt-LT"/>
        </w:rPr>
        <w:t>subendrintą intervalą</w:t>
      </w:r>
      <w:r w:rsidR="00E2563F">
        <w:rPr>
          <w:rFonts w:ascii="Trebuchet MS" w:hAnsi="Trebuchet MS"/>
          <w:szCs w:val="22"/>
          <w:lang w:val="lt-LT"/>
        </w:rPr>
        <w:t xml:space="preserve"> dažnai</w:t>
      </w:r>
      <w:r w:rsidR="00FB448F" w:rsidRPr="00F17ECC">
        <w:rPr>
          <w:rFonts w:ascii="Trebuchet MS" w:hAnsi="Trebuchet MS"/>
          <w:szCs w:val="22"/>
          <w:lang w:val="lt-LT"/>
        </w:rPr>
        <w:t xml:space="preserve"> laiko turinčiu reikšmingų trūkumų</w:t>
      </w:r>
      <w:r w:rsidR="00FB448F">
        <w:rPr>
          <w:rFonts w:ascii="Trebuchet MS" w:hAnsi="Trebuchet MS"/>
          <w:szCs w:val="22"/>
          <w:lang w:val="lt-LT"/>
        </w:rPr>
        <w:t xml:space="preserve">. Toliau </w:t>
      </w:r>
      <w:r w:rsidR="00237B14">
        <w:rPr>
          <w:rFonts w:ascii="Trebuchet MS" w:hAnsi="Trebuchet MS"/>
          <w:szCs w:val="22"/>
          <w:lang w:val="lt-LT"/>
        </w:rPr>
        <w:t xml:space="preserve">atsakyme </w:t>
      </w:r>
      <w:r w:rsidR="00FB448F">
        <w:rPr>
          <w:rFonts w:ascii="Trebuchet MS" w:hAnsi="Trebuchet MS"/>
          <w:szCs w:val="22"/>
          <w:lang w:val="lt-LT"/>
        </w:rPr>
        <w:t xml:space="preserve">pateikiami šie trūkumai bei nurodoma į ką reikėtų atkreipti dėmesį, pasirinkus sudaryti </w:t>
      </w:r>
      <w:r w:rsidR="006501E5">
        <w:rPr>
          <w:rFonts w:ascii="Trebuchet MS" w:hAnsi="Trebuchet MS"/>
          <w:szCs w:val="22"/>
          <w:lang w:val="lt-LT"/>
        </w:rPr>
        <w:t xml:space="preserve">bendrą </w:t>
      </w:r>
      <w:r w:rsidR="00FB448F">
        <w:rPr>
          <w:rFonts w:ascii="Trebuchet MS" w:hAnsi="Trebuchet MS"/>
          <w:szCs w:val="22"/>
          <w:lang w:val="lt-LT"/>
        </w:rPr>
        <w:t>intervalą.</w:t>
      </w:r>
    </w:p>
    <w:p w14:paraId="7647AC3F" w14:textId="3941B427" w:rsidR="007453CD" w:rsidRPr="00F17ECC" w:rsidRDefault="00D76560" w:rsidP="00C9122C">
      <w:pPr>
        <w:autoSpaceDE w:val="0"/>
        <w:autoSpaceDN w:val="0"/>
        <w:adjustRightInd w:val="0"/>
        <w:spacing w:after="0"/>
        <w:ind w:firstLine="720"/>
        <w:jc w:val="both"/>
        <w:rPr>
          <w:rFonts w:ascii="Trebuchet MS" w:hAnsi="Trebuchet MS"/>
          <w:szCs w:val="22"/>
          <w:lang w:val="lt-LT"/>
        </w:rPr>
      </w:pPr>
      <w:r>
        <w:rPr>
          <w:rFonts w:ascii="Trebuchet MS" w:hAnsi="Trebuchet MS"/>
          <w:szCs w:val="22"/>
          <w:lang w:val="lt-LT"/>
        </w:rPr>
        <w:t>B</w:t>
      </w:r>
      <w:r w:rsidR="006501E5">
        <w:rPr>
          <w:rFonts w:ascii="Trebuchet MS" w:hAnsi="Trebuchet MS"/>
          <w:szCs w:val="22"/>
          <w:lang w:val="lt-LT"/>
        </w:rPr>
        <w:t>endru (</w:t>
      </w:r>
      <w:r w:rsidR="00FB448F">
        <w:rPr>
          <w:rFonts w:ascii="Trebuchet MS" w:hAnsi="Trebuchet MS"/>
          <w:szCs w:val="22"/>
          <w:lang w:val="lt-LT"/>
        </w:rPr>
        <w:t>subendrintu</w:t>
      </w:r>
      <w:r w:rsidR="006501E5">
        <w:rPr>
          <w:rFonts w:ascii="Trebuchet MS" w:hAnsi="Trebuchet MS"/>
          <w:szCs w:val="22"/>
          <w:lang w:val="lt-LT"/>
        </w:rPr>
        <w:t>)</w:t>
      </w:r>
      <w:r w:rsidR="00FB448F">
        <w:rPr>
          <w:rFonts w:ascii="Trebuchet MS" w:hAnsi="Trebuchet MS"/>
          <w:szCs w:val="22"/>
          <w:lang w:val="lt-LT"/>
        </w:rPr>
        <w:t xml:space="preserve"> intervalu laikomas intervalas, kuris </w:t>
      </w:r>
      <w:r w:rsidR="007453CD" w:rsidRPr="00F17ECC">
        <w:rPr>
          <w:rFonts w:ascii="Trebuchet MS" w:hAnsi="Trebuchet MS"/>
          <w:szCs w:val="22"/>
          <w:lang w:val="lt-LT"/>
        </w:rPr>
        <w:t xml:space="preserve">sudaromas kai atliekama viena </w:t>
      </w:r>
      <w:r w:rsidR="00FB448F">
        <w:rPr>
          <w:rFonts w:ascii="Trebuchet MS" w:hAnsi="Trebuchet MS"/>
          <w:szCs w:val="22"/>
          <w:lang w:val="lt-LT"/>
        </w:rPr>
        <w:t xml:space="preserve">palyginimų </w:t>
      </w:r>
      <w:r w:rsidR="007453CD" w:rsidRPr="00F17ECC">
        <w:rPr>
          <w:rFonts w:ascii="Trebuchet MS" w:hAnsi="Trebuchet MS"/>
          <w:szCs w:val="22"/>
          <w:lang w:val="lt-LT"/>
        </w:rPr>
        <w:t>paieška pasirinkus kelias skirtingas veiklas</w:t>
      </w:r>
      <w:r w:rsidR="001E0F93">
        <w:rPr>
          <w:rFonts w:ascii="Trebuchet MS" w:hAnsi="Trebuchet MS"/>
          <w:szCs w:val="22"/>
          <w:lang w:val="lt-LT"/>
        </w:rPr>
        <w:t xml:space="preserve"> pagal Ekonominės veiklos rūšių klasifikatorių (EVRK)</w:t>
      </w:r>
      <w:r w:rsidR="007453CD" w:rsidRPr="00F17ECC">
        <w:rPr>
          <w:rFonts w:ascii="Trebuchet MS" w:hAnsi="Trebuchet MS"/>
          <w:szCs w:val="22"/>
          <w:lang w:val="lt-LT"/>
        </w:rPr>
        <w:t xml:space="preserve"> arba kai atliekamos dvi ar daugiau palyginimų paiešk</w:t>
      </w:r>
      <w:r w:rsidR="001E0F93">
        <w:rPr>
          <w:rFonts w:ascii="Trebuchet MS" w:hAnsi="Trebuchet MS"/>
          <w:szCs w:val="22"/>
          <w:lang w:val="lt-LT"/>
        </w:rPr>
        <w:t xml:space="preserve">os </w:t>
      </w:r>
      <w:r w:rsidR="007453CD" w:rsidRPr="00F17ECC">
        <w:rPr>
          <w:rFonts w:ascii="Trebuchet MS" w:hAnsi="Trebuchet MS"/>
          <w:szCs w:val="22"/>
          <w:lang w:val="lt-LT"/>
        </w:rPr>
        <w:t xml:space="preserve">ir visos </w:t>
      </w:r>
      <w:r w:rsidR="001E0F93">
        <w:rPr>
          <w:rFonts w:ascii="Trebuchet MS" w:hAnsi="Trebuchet MS"/>
          <w:szCs w:val="22"/>
          <w:lang w:val="lt-LT"/>
        </w:rPr>
        <w:t xml:space="preserve">pagal šias paieškas </w:t>
      </w:r>
      <w:r w:rsidR="007453CD" w:rsidRPr="00F17ECC">
        <w:rPr>
          <w:rFonts w:ascii="Trebuchet MS" w:hAnsi="Trebuchet MS"/>
          <w:szCs w:val="22"/>
          <w:lang w:val="lt-LT"/>
        </w:rPr>
        <w:t xml:space="preserve">atrinktos įmonės sudedamos į vieną atrinktųjų palyginimų sąrašą </w:t>
      </w:r>
      <w:r w:rsidR="001E0F93">
        <w:rPr>
          <w:rFonts w:ascii="Trebuchet MS" w:hAnsi="Trebuchet MS"/>
          <w:szCs w:val="22"/>
          <w:lang w:val="lt-LT"/>
        </w:rPr>
        <w:t>bei</w:t>
      </w:r>
      <w:r w:rsidR="007453CD" w:rsidRPr="00F17ECC">
        <w:rPr>
          <w:rFonts w:ascii="Trebuchet MS" w:hAnsi="Trebuchet MS"/>
          <w:szCs w:val="22"/>
          <w:lang w:val="lt-LT"/>
        </w:rPr>
        <w:t xml:space="preserve"> pagal šio sąrašo įmonių rodiklius apskaičiuojamas vienas intervalas.</w:t>
      </w:r>
      <w:r w:rsidR="00FB448F">
        <w:rPr>
          <w:rFonts w:ascii="Trebuchet MS" w:hAnsi="Trebuchet MS"/>
          <w:szCs w:val="22"/>
          <w:lang w:val="lt-LT"/>
        </w:rPr>
        <w:t xml:space="preserve"> </w:t>
      </w:r>
      <w:r w:rsidR="006501E5">
        <w:rPr>
          <w:rFonts w:ascii="Trebuchet MS" w:hAnsi="Trebuchet MS"/>
          <w:szCs w:val="22"/>
          <w:lang w:val="lt-LT"/>
        </w:rPr>
        <w:t>Bendro (s</w:t>
      </w:r>
      <w:r w:rsidR="00237B14">
        <w:rPr>
          <w:rFonts w:ascii="Trebuchet MS" w:hAnsi="Trebuchet MS"/>
          <w:szCs w:val="22"/>
          <w:lang w:val="lt-LT"/>
        </w:rPr>
        <w:t>ubendrinto</w:t>
      </w:r>
      <w:r w:rsidR="006501E5">
        <w:rPr>
          <w:rFonts w:ascii="Trebuchet MS" w:hAnsi="Trebuchet MS"/>
          <w:szCs w:val="22"/>
          <w:lang w:val="lt-LT"/>
        </w:rPr>
        <w:t>)</w:t>
      </w:r>
      <w:r w:rsidR="00237B14">
        <w:rPr>
          <w:rFonts w:ascii="Trebuchet MS" w:hAnsi="Trebuchet MS"/>
          <w:szCs w:val="22"/>
          <w:lang w:val="lt-LT"/>
        </w:rPr>
        <w:t xml:space="preserve"> intervalo ypatumai ir trūkumai:</w:t>
      </w:r>
    </w:p>
    <w:p w14:paraId="36A7D8B6" w14:textId="77777777" w:rsidR="007453CD" w:rsidRPr="00F17ECC" w:rsidRDefault="007453CD" w:rsidP="00C9122C">
      <w:pPr>
        <w:numPr>
          <w:ilvl w:val="0"/>
          <w:numId w:val="2"/>
        </w:numPr>
        <w:autoSpaceDE w:val="0"/>
        <w:autoSpaceDN w:val="0"/>
        <w:adjustRightInd w:val="0"/>
        <w:spacing w:after="0"/>
        <w:jc w:val="both"/>
        <w:rPr>
          <w:rFonts w:ascii="Trebuchet MS" w:hAnsi="Trebuchet MS"/>
          <w:szCs w:val="22"/>
          <w:lang w:val="lt-LT"/>
        </w:rPr>
      </w:pPr>
      <w:r w:rsidRPr="00F17ECC">
        <w:rPr>
          <w:rFonts w:ascii="Trebuchet MS" w:hAnsi="Trebuchet MS"/>
          <w:szCs w:val="22"/>
          <w:lang w:val="lt-LT"/>
        </w:rPr>
        <w:t xml:space="preserve">galutinę skaičių aibę labiau paveikia tos rūšies palyginimai, kurių yra daugiau, tačiau tai nebūtinai atitinka faktiškai suteiktų paslaugų dydžių proporciją, o tai reiškia, jog </w:t>
      </w:r>
      <w:r w:rsidRPr="00F17ECC">
        <w:rPr>
          <w:rFonts w:ascii="Trebuchet MS" w:hAnsi="Trebuchet MS" w:cs="Trebuchet MS"/>
          <w:szCs w:val="22"/>
          <w:lang w:val="lt-LT"/>
        </w:rPr>
        <w:t>vienokio turinio paslaugų kaina gali būt grindžiama visai kitokią veiklą vykdančių įmonių pelningumu</w:t>
      </w:r>
      <w:r w:rsidRPr="00F17ECC">
        <w:rPr>
          <w:rFonts w:ascii="Trebuchet MS" w:hAnsi="Trebuchet MS"/>
          <w:szCs w:val="22"/>
          <w:lang w:val="lt-LT"/>
        </w:rPr>
        <w:t xml:space="preserve">:  </w:t>
      </w:r>
    </w:p>
    <w:p w14:paraId="60318047" w14:textId="77777777" w:rsidR="007453CD" w:rsidRPr="00F17ECC" w:rsidRDefault="007453CD" w:rsidP="00C9122C">
      <w:pPr>
        <w:autoSpaceDE w:val="0"/>
        <w:autoSpaceDN w:val="0"/>
        <w:adjustRightInd w:val="0"/>
        <w:spacing w:after="0"/>
        <w:ind w:left="720"/>
        <w:jc w:val="both"/>
        <w:rPr>
          <w:rFonts w:ascii="Trebuchet MS" w:hAnsi="Trebuchet MS"/>
          <w:szCs w:val="22"/>
          <w:lang w:val="lt-LT"/>
        </w:rPr>
      </w:pPr>
      <w:r w:rsidRPr="00F17ECC">
        <w:rPr>
          <w:rFonts w:ascii="Trebuchet MS" w:hAnsi="Trebuchet MS"/>
          <w:i/>
          <w:szCs w:val="22"/>
          <w:lang w:val="lt-LT"/>
        </w:rPr>
        <w:t>pvz., jeigu atrinkta 10 konsultacinių įmonių, 30 teisines paslaugas teikiančių įmonių, 2 su informacinėmis  technologijomis (IT) susijusių paslaugų teikimo įmonės, tačiau vertinant faktiškai asocijuotam asmeniui suteiktų paslaugų turinį, matyti, kad didžiąją dalį (pvz., 80 proc.) šių paslaugų sudarė IT paslaugos, tai reikštų, kad suteiktų IT paslaugų kaina iš esmės yra nustatoma pagal teisines ir konsultacines paslaugas teikiančias įmones. Taigi būtų neužtikrinamas duomenų palyginamumas</w:t>
      </w:r>
      <w:r w:rsidRPr="00F17ECC">
        <w:rPr>
          <w:rFonts w:ascii="Trebuchet MS" w:hAnsi="Trebuchet MS"/>
          <w:szCs w:val="22"/>
          <w:lang w:val="lt-LT"/>
        </w:rPr>
        <w:t>;</w:t>
      </w:r>
    </w:p>
    <w:p w14:paraId="66130C8A" w14:textId="28A90094" w:rsidR="007453CD" w:rsidRPr="00F17ECC" w:rsidRDefault="007453CD" w:rsidP="00C9122C">
      <w:pPr>
        <w:numPr>
          <w:ilvl w:val="0"/>
          <w:numId w:val="2"/>
        </w:numPr>
        <w:autoSpaceDE w:val="0"/>
        <w:autoSpaceDN w:val="0"/>
        <w:adjustRightInd w:val="0"/>
        <w:spacing w:after="0"/>
        <w:jc w:val="both"/>
        <w:rPr>
          <w:rFonts w:ascii="Trebuchet MS" w:hAnsi="Trebuchet MS"/>
          <w:szCs w:val="22"/>
          <w:lang w:val="lt-LT"/>
        </w:rPr>
      </w:pPr>
      <w:r w:rsidRPr="00F17ECC">
        <w:rPr>
          <w:rFonts w:ascii="Trebuchet MS" w:hAnsi="Trebuchet MS"/>
          <w:szCs w:val="22"/>
          <w:lang w:val="lt-LT"/>
        </w:rPr>
        <w:t>būtina pateikti informaciją apie teikiamų</w:t>
      </w:r>
      <w:r w:rsidR="00237B14">
        <w:rPr>
          <w:rFonts w:ascii="Trebuchet MS" w:hAnsi="Trebuchet MS"/>
          <w:szCs w:val="22"/>
          <w:lang w:val="lt-LT"/>
        </w:rPr>
        <w:t xml:space="preserve"> / faktiškai suteiktų</w:t>
      </w:r>
      <w:r w:rsidRPr="00F17ECC">
        <w:rPr>
          <w:rFonts w:ascii="Trebuchet MS" w:hAnsi="Trebuchet MS"/>
          <w:szCs w:val="22"/>
          <w:lang w:val="lt-LT"/>
        </w:rPr>
        <w:t xml:space="preserve"> paslaugų apimtis – siekiant </w:t>
      </w:r>
      <w:r w:rsidR="00D76560">
        <w:rPr>
          <w:rFonts w:ascii="Trebuchet MS" w:hAnsi="Trebuchet MS"/>
          <w:szCs w:val="22"/>
          <w:lang w:val="lt-LT"/>
        </w:rPr>
        <w:t>įvertinti</w:t>
      </w:r>
      <w:r w:rsidRPr="00F17ECC">
        <w:rPr>
          <w:rFonts w:ascii="Trebuchet MS" w:hAnsi="Trebuchet MS"/>
          <w:szCs w:val="22"/>
          <w:lang w:val="lt-LT"/>
        </w:rPr>
        <w:t xml:space="preserve">, ar </w:t>
      </w:r>
      <w:r w:rsidR="00237B14">
        <w:rPr>
          <w:rFonts w:ascii="Trebuchet MS" w:hAnsi="Trebuchet MS"/>
          <w:szCs w:val="22"/>
          <w:lang w:val="lt-LT"/>
        </w:rPr>
        <w:t>šių</w:t>
      </w:r>
      <w:r w:rsidR="00237B14" w:rsidRPr="00F17ECC">
        <w:rPr>
          <w:rFonts w:ascii="Trebuchet MS" w:hAnsi="Trebuchet MS"/>
          <w:szCs w:val="22"/>
          <w:lang w:val="lt-LT"/>
        </w:rPr>
        <w:t xml:space="preserve"> </w:t>
      </w:r>
      <w:r w:rsidRPr="00F17ECC">
        <w:rPr>
          <w:rFonts w:ascii="Trebuchet MS" w:hAnsi="Trebuchet MS"/>
          <w:szCs w:val="22"/>
          <w:lang w:val="lt-LT"/>
        </w:rPr>
        <w:t>paslaugų apimtys atitinka palyginimų rūšių proporcijas;</w:t>
      </w:r>
    </w:p>
    <w:p w14:paraId="03D507CB" w14:textId="76880162" w:rsidR="007453CD" w:rsidRPr="00F17ECC" w:rsidRDefault="007453CD" w:rsidP="00C9122C">
      <w:pPr>
        <w:numPr>
          <w:ilvl w:val="0"/>
          <w:numId w:val="2"/>
        </w:numPr>
        <w:autoSpaceDE w:val="0"/>
        <w:autoSpaceDN w:val="0"/>
        <w:adjustRightInd w:val="0"/>
        <w:spacing w:after="0"/>
        <w:jc w:val="both"/>
        <w:rPr>
          <w:rFonts w:ascii="Trebuchet MS" w:hAnsi="Trebuchet MS"/>
          <w:szCs w:val="22"/>
          <w:lang w:val="lt-LT"/>
        </w:rPr>
      </w:pPr>
      <w:r w:rsidRPr="00F17ECC">
        <w:rPr>
          <w:rFonts w:ascii="Trebuchet MS" w:hAnsi="Trebuchet MS"/>
          <w:szCs w:val="22"/>
          <w:lang w:val="lt-LT"/>
        </w:rPr>
        <w:t xml:space="preserve">jeigu </w:t>
      </w:r>
      <w:r w:rsidR="00237B14">
        <w:rPr>
          <w:rFonts w:ascii="Trebuchet MS" w:hAnsi="Trebuchet MS"/>
          <w:szCs w:val="22"/>
          <w:lang w:val="lt-LT"/>
        </w:rPr>
        <w:t xml:space="preserve">subendrintas </w:t>
      </w:r>
      <w:r w:rsidRPr="00F17ECC">
        <w:rPr>
          <w:rFonts w:ascii="Trebuchet MS" w:hAnsi="Trebuchet MS"/>
          <w:szCs w:val="22"/>
          <w:lang w:val="lt-LT"/>
        </w:rPr>
        <w:t>intervalas platus, jis rodo, tai, kad skirting</w:t>
      </w:r>
      <w:r w:rsidR="00D76560">
        <w:rPr>
          <w:rFonts w:ascii="Trebuchet MS" w:hAnsi="Trebuchet MS"/>
          <w:szCs w:val="22"/>
          <w:lang w:val="lt-LT"/>
        </w:rPr>
        <w:t>ą veiklą vykdančios</w:t>
      </w:r>
      <w:r w:rsidRPr="00F17ECC">
        <w:rPr>
          <w:rFonts w:ascii="Trebuchet MS" w:hAnsi="Trebuchet MS"/>
          <w:szCs w:val="22"/>
          <w:lang w:val="lt-LT"/>
        </w:rPr>
        <w:t xml:space="preserve"> įmonės rinkoje gauna skirtingą grąžą, todėl reikalinga vykdyti atskiras paieškas.</w:t>
      </w:r>
    </w:p>
    <w:p w14:paraId="1E989B50" w14:textId="5AAA01B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Atsižvelgiant į tai, pirmiausia rekomenduojama laikytis pagrindinės taisyklės, jog kiekvieno kontroliuojamojo sandorio kainodara turi būti vertinama atskirai, kaip tai įtvirtinta Kaino</w:t>
      </w:r>
      <w:r w:rsidR="000B5031" w:rsidRPr="00F17ECC">
        <w:rPr>
          <w:rFonts w:ascii="Trebuchet MS" w:hAnsi="Trebuchet MS"/>
          <w:szCs w:val="22"/>
          <w:lang w:val="lt-LT"/>
        </w:rPr>
        <w:t>d</w:t>
      </w:r>
      <w:r w:rsidRPr="00F17ECC">
        <w:rPr>
          <w:rFonts w:ascii="Trebuchet MS" w:hAnsi="Trebuchet MS"/>
          <w:szCs w:val="22"/>
          <w:lang w:val="lt-LT"/>
        </w:rPr>
        <w:t xml:space="preserve">aros taisyklių 14 p. </w:t>
      </w:r>
      <w:r w:rsidR="006501E5">
        <w:rPr>
          <w:rFonts w:ascii="Trebuchet MS" w:hAnsi="Trebuchet MS"/>
          <w:szCs w:val="22"/>
          <w:lang w:val="lt-LT"/>
        </w:rPr>
        <w:t>Bendro (s</w:t>
      </w:r>
      <w:r w:rsidRPr="00F17ECC">
        <w:rPr>
          <w:rFonts w:ascii="Trebuchet MS" w:hAnsi="Trebuchet MS"/>
          <w:szCs w:val="22"/>
          <w:lang w:val="lt-LT"/>
        </w:rPr>
        <w:t>ubendrinto</w:t>
      </w:r>
      <w:r w:rsidR="006501E5">
        <w:rPr>
          <w:rFonts w:ascii="Trebuchet MS" w:hAnsi="Trebuchet MS"/>
          <w:szCs w:val="22"/>
          <w:lang w:val="lt-LT"/>
        </w:rPr>
        <w:t>)</w:t>
      </w:r>
      <w:r w:rsidRPr="00F17ECC">
        <w:rPr>
          <w:rFonts w:ascii="Trebuchet MS" w:hAnsi="Trebuchet MS"/>
          <w:szCs w:val="22"/>
          <w:lang w:val="lt-LT"/>
        </w:rPr>
        <w:t xml:space="preserve"> intervalo naudojimas galimas tik išimtinais atvejais užtikrinant panašią palyginimų skaičiaus ir paslaugų rūšių proporciją bei siaurą intervalą.</w:t>
      </w:r>
    </w:p>
    <w:p w14:paraId="5F8B181D"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p>
    <w:p w14:paraId="7628F862" w14:textId="47109FB9"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b/>
          <w:szCs w:val="22"/>
          <w:lang w:val="lt-LT"/>
        </w:rPr>
        <w:t>2</w:t>
      </w:r>
      <w:r w:rsidR="00412C3E">
        <w:rPr>
          <w:rFonts w:ascii="Trebuchet MS" w:hAnsi="Trebuchet MS"/>
          <w:b/>
          <w:szCs w:val="22"/>
          <w:lang w:val="lt-LT"/>
        </w:rPr>
        <w:t>5</w:t>
      </w:r>
      <w:r w:rsidRPr="00F17ECC">
        <w:rPr>
          <w:rFonts w:ascii="Trebuchet MS" w:hAnsi="Trebuchet MS"/>
          <w:b/>
          <w:szCs w:val="22"/>
          <w:lang w:val="lt-LT"/>
        </w:rPr>
        <w:t xml:space="preserve">. Jeigu </w:t>
      </w:r>
      <w:r w:rsidR="00C22056">
        <w:rPr>
          <w:rFonts w:ascii="Trebuchet MS" w:hAnsi="Trebuchet MS"/>
          <w:b/>
          <w:szCs w:val="22"/>
          <w:lang w:val="lt-LT"/>
        </w:rPr>
        <w:t>bendro (</w:t>
      </w:r>
      <w:r w:rsidRPr="00F17ECC">
        <w:rPr>
          <w:rFonts w:ascii="Trebuchet MS" w:hAnsi="Trebuchet MS"/>
          <w:b/>
          <w:szCs w:val="22"/>
          <w:lang w:val="lt-LT"/>
        </w:rPr>
        <w:t>subendrinto</w:t>
      </w:r>
      <w:r w:rsidR="00C22056">
        <w:rPr>
          <w:rFonts w:ascii="Trebuchet MS" w:hAnsi="Trebuchet MS"/>
          <w:b/>
          <w:szCs w:val="22"/>
          <w:lang w:val="lt-LT"/>
        </w:rPr>
        <w:t>)</w:t>
      </w:r>
      <w:r w:rsidRPr="00F17ECC">
        <w:rPr>
          <w:rFonts w:ascii="Trebuchet MS" w:hAnsi="Trebuchet MS"/>
          <w:b/>
          <w:szCs w:val="22"/>
          <w:lang w:val="lt-LT"/>
        </w:rPr>
        <w:t xml:space="preserve"> intervalo (kai palyginimų paieška atliekama pagal skirtingas veiklas vykdanči</w:t>
      </w:r>
      <w:r w:rsidR="00C22056">
        <w:rPr>
          <w:rFonts w:ascii="Trebuchet MS" w:hAnsi="Trebuchet MS"/>
          <w:b/>
          <w:szCs w:val="22"/>
          <w:lang w:val="lt-LT"/>
        </w:rPr>
        <w:t>as palyginamąsias įmones</w:t>
      </w:r>
      <w:r w:rsidRPr="00F17ECC">
        <w:rPr>
          <w:rFonts w:ascii="Trebuchet MS" w:hAnsi="Trebuchet MS"/>
          <w:b/>
          <w:szCs w:val="22"/>
          <w:lang w:val="lt-LT"/>
        </w:rPr>
        <w:t>) mokesčių administratorius nelaiko patikimu ir jo nerekomenduoja, ar yra kitų būdų, kaip nustatyti vieną intervalą, kuris galėtų būti taikomas skirtingos rūšies paslaugoms?</w:t>
      </w:r>
      <w:r w:rsidRPr="00F17ECC">
        <w:rPr>
          <w:rFonts w:ascii="Trebuchet MS" w:hAnsi="Trebuchet MS"/>
          <w:szCs w:val="22"/>
          <w:lang w:val="lt-LT"/>
        </w:rPr>
        <w:t xml:space="preserve"> </w:t>
      </w:r>
    </w:p>
    <w:p w14:paraId="1CCDBE5E" w14:textId="5DB459BD"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Taip, siekiant sumažinti administracinę naštą, galima sudaryti persidengiantį (sutampantį) intervalą. Persidengiantis (sutampantis) intervalas - tai dviejų ar daugiau palyginimų paieškų sutampantys rezultatai (angl. </w:t>
      </w:r>
      <w:proofErr w:type="spellStart"/>
      <w:r w:rsidRPr="00E95027">
        <w:rPr>
          <w:rFonts w:ascii="Trebuchet MS" w:hAnsi="Trebuchet MS"/>
          <w:i/>
          <w:szCs w:val="22"/>
          <w:lang w:val="lt-LT"/>
        </w:rPr>
        <w:t>overlap</w:t>
      </w:r>
      <w:proofErr w:type="spellEnd"/>
      <w:r w:rsidRPr="00F17ECC">
        <w:rPr>
          <w:rFonts w:ascii="Trebuchet MS" w:hAnsi="Trebuchet MS"/>
          <w:szCs w:val="22"/>
          <w:lang w:val="lt-LT"/>
        </w:rPr>
        <w:t xml:space="preserve">). Jis gali būti taikomas, kai siekiama nustatyti skirtingų rūšių kompleksinių paslaugų kainodarą </w:t>
      </w:r>
      <w:r w:rsidRPr="00F17ECC">
        <w:rPr>
          <w:rFonts w:ascii="Trebuchet MS" w:hAnsi="Trebuchet MS" w:cs="Calibri"/>
          <w:szCs w:val="22"/>
          <w:lang w:val="lt-LT"/>
        </w:rPr>
        <w:t xml:space="preserve">(pvz., teikiamos </w:t>
      </w:r>
      <w:r w:rsidR="00E95027">
        <w:rPr>
          <w:rFonts w:ascii="Trebuchet MS" w:hAnsi="Trebuchet MS" w:cs="Calibri"/>
          <w:szCs w:val="22"/>
          <w:lang w:val="lt-LT"/>
        </w:rPr>
        <w:t xml:space="preserve">tokios </w:t>
      </w:r>
      <w:r w:rsidRPr="00F17ECC">
        <w:rPr>
          <w:rFonts w:ascii="Trebuchet MS" w:hAnsi="Trebuchet MS" w:cs="Calibri"/>
          <w:szCs w:val="22"/>
          <w:lang w:val="lt-LT"/>
        </w:rPr>
        <w:t>kompleksinės paslaug</w:t>
      </w:r>
      <w:r w:rsidR="000B5031" w:rsidRPr="00F17ECC">
        <w:rPr>
          <w:rFonts w:ascii="Trebuchet MS" w:hAnsi="Trebuchet MS" w:cs="Calibri"/>
          <w:szCs w:val="22"/>
          <w:lang w:val="lt-LT"/>
        </w:rPr>
        <w:t>o</w:t>
      </w:r>
      <w:r w:rsidRPr="00F17ECC">
        <w:rPr>
          <w:rFonts w:ascii="Trebuchet MS" w:hAnsi="Trebuchet MS" w:cs="Calibri"/>
          <w:szCs w:val="22"/>
          <w:lang w:val="lt-LT"/>
        </w:rPr>
        <w:t>s</w:t>
      </w:r>
      <w:r w:rsidR="00E95027">
        <w:rPr>
          <w:rFonts w:ascii="Trebuchet MS" w:hAnsi="Trebuchet MS" w:cs="Calibri"/>
          <w:szCs w:val="22"/>
          <w:lang w:val="lt-LT"/>
        </w:rPr>
        <w:t>,</w:t>
      </w:r>
      <w:r w:rsidRPr="00F17ECC">
        <w:rPr>
          <w:rFonts w:ascii="Trebuchet MS" w:hAnsi="Trebuchet MS" w:cs="Calibri"/>
          <w:szCs w:val="22"/>
          <w:lang w:val="lt-LT"/>
        </w:rPr>
        <w:t xml:space="preserve"> kaip apskaita, teisinės konsultacijos ir kt.) ir kai g</w:t>
      </w:r>
      <w:r w:rsidRPr="00F17ECC">
        <w:rPr>
          <w:rFonts w:ascii="Trebuchet MS" w:hAnsi="Trebuchet MS"/>
          <w:szCs w:val="22"/>
          <w:lang w:val="lt-LT"/>
        </w:rPr>
        <w:t>aunami panašūs skirtingų paieškų intervalai. Šiuo atveju palyginimų skaičiaus ir paslaugų rūšių proporcija nėra svarbi.</w:t>
      </w:r>
    </w:p>
    <w:p w14:paraId="1C0CCBE1" w14:textId="46FA017A"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Sudarant tokį intervalą, pirmiausia</w:t>
      </w:r>
      <w:r w:rsidR="00E95027">
        <w:rPr>
          <w:rFonts w:ascii="Trebuchet MS" w:hAnsi="Trebuchet MS"/>
          <w:szCs w:val="22"/>
          <w:lang w:val="lt-LT"/>
        </w:rPr>
        <w:t>,</w:t>
      </w:r>
      <w:r w:rsidRPr="00F17ECC">
        <w:rPr>
          <w:rFonts w:ascii="Trebuchet MS" w:hAnsi="Trebuchet MS"/>
          <w:szCs w:val="22"/>
          <w:lang w:val="lt-LT"/>
        </w:rPr>
        <w:t xml:space="preserve"> turi būti atliekamos atskiros </w:t>
      </w:r>
      <w:r w:rsidR="00E95027">
        <w:rPr>
          <w:rFonts w:ascii="Trebuchet MS" w:hAnsi="Trebuchet MS"/>
          <w:szCs w:val="22"/>
          <w:lang w:val="lt-LT"/>
        </w:rPr>
        <w:t xml:space="preserve">palyginimų </w:t>
      </w:r>
      <w:r w:rsidRPr="00F17ECC">
        <w:rPr>
          <w:rFonts w:ascii="Trebuchet MS" w:hAnsi="Trebuchet MS"/>
          <w:szCs w:val="22"/>
          <w:lang w:val="lt-LT"/>
        </w:rPr>
        <w:t>paieškos konkrečiai paslaugų rūšiai</w:t>
      </w:r>
      <w:r w:rsidR="00E95027">
        <w:rPr>
          <w:rFonts w:ascii="Trebuchet MS" w:hAnsi="Trebuchet MS"/>
          <w:szCs w:val="22"/>
          <w:lang w:val="lt-LT"/>
        </w:rPr>
        <w:t xml:space="preserve"> (visais atvejais taikomas analogiškas </w:t>
      </w:r>
      <w:r w:rsidR="00092585">
        <w:rPr>
          <w:rFonts w:ascii="Trebuchet MS" w:hAnsi="Trebuchet MS"/>
          <w:szCs w:val="22"/>
          <w:lang w:val="lt-LT"/>
        </w:rPr>
        <w:t xml:space="preserve">finansinis </w:t>
      </w:r>
      <w:r w:rsidR="00E95027">
        <w:rPr>
          <w:rFonts w:ascii="Trebuchet MS" w:hAnsi="Trebuchet MS"/>
          <w:szCs w:val="22"/>
          <w:lang w:val="lt-LT"/>
        </w:rPr>
        <w:t>veiklos rodiklis)</w:t>
      </w:r>
      <w:r w:rsidRPr="00F17ECC">
        <w:rPr>
          <w:rFonts w:ascii="Trebuchet MS" w:hAnsi="Trebuchet MS"/>
          <w:szCs w:val="22"/>
          <w:lang w:val="lt-LT"/>
        </w:rPr>
        <w:t xml:space="preserve">. </w:t>
      </w:r>
      <w:r w:rsidRPr="00F17ECC">
        <w:rPr>
          <w:rFonts w:ascii="Trebuchet MS" w:hAnsi="Trebuchet MS" w:cs="Calibri"/>
          <w:szCs w:val="22"/>
          <w:lang w:val="lt-LT"/>
        </w:rPr>
        <w:t xml:space="preserve">Atliekant individualizuotas paieškas atskiroms paslaugų rūšims, galima pasirinkti kiekvienu atveju labiausiai tinkančius paieškų kriterijus ir gauti patikimiausią rezultatą. </w:t>
      </w:r>
      <w:r w:rsidRPr="00F17ECC">
        <w:rPr>
          <w:rFonts w:ascii="Trebuchet MS" w:hAnsi="Trebuchet MS"/>
          <w:szCs w:val="22"/>
          <w:lang w:val="lt-LT"/>
        </w:rPr>
        <w:t>Apskaičiavus kiekvienai šių paslaugų rūšių intervalus, jeigu gaunami panašūs skirtingų paieškų intervalai, tuomet jie gali būti subendrinami (apjungiami) tokiu būdu:</w:t>
      </w:r>
    </w:p>
    <w:p w14:paraId="31F64544"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intervalo apatinė reikšmė nustatoma pasirenkant aukščiausią apatinio kvartilio reikšmę iš atliktųjų atskirų palyginimų paieškų reikšmių aibių;</w:t>
      </w:r>
    </w:p>
    <w:p w14:paraId="4FCC02F7" w14:textId="7777777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intervalo viršutinė reikšmė nustatoma pasirenkant žemiausią viršutinio kvartilio reikšmę iš atliktųjų atskirų palyginimų paieškų reikšmių aibių;</w:t>
      </w:r>
    </w:p>
    <w:p w14:paraId="609A9F96" w14:textId="461DB4E2" w:rsidR="007453CD" w:rsidRDefault="007453CD" w:rsidP="00C9122C">
      <w:pPr>
        <w:autoSpaceDE w:val="0"/>
        <w:autoSpaceDN w:val="0"/>
        <w:adjustRightInd w:val="0"/>
        <w:spacing w:after="0"/>
        <w:ind w:firstLine="720"/>
        <w:jc w:val="both"/>
        <w:rPr>
          <w:rFonts w:ascii="Trebuchet MS" w:hAnsi="Trebuchet MS"/>
          <w:szCs w:val="22"/>
          <w:lang w:val="lt-LT"/>
        </w:rPr>
      </w:pPr>
      <w:r w:rsidRPr="00F17ECC">
        <w:rPr>
          <w:rFonts w:ascii="Trebuchet MS" w:hAnsi="Trebuchet MS"/>
          <w:szCs w:val="22"/>
          <w:lang w:val="lt-LT"/>
        </w:rPr>
        <w:t xml:space="preserve">- persidengiančio intervalo mediana apskaičiuojama kaip medianos rodiklis tarp apatinio ir viršutinio persidengiančio intervalo kvartilio reikšmių. </w:t>
      </w:r>
    </w:p>
    <w:p w14:paraId="7CB11DF6" w14:textId="77777777" w:rsidR="006F082D" w:rsidRPr="00F17ECC" w:rsidRDefault="006F082D" w:rsidP="00C9122C">
      <w:pPr>
        <w:autoSpaceDE w:val="0"/>
        <w:autoSpaceDN w:val="0"/>
        <w:adjustRightInd w:val="0"/>
        <w:spacing w:after="0"/>
        <w:ind w:firstLine="720"/>
        <w:jc w:val="both"/>
        <w:rPr>
          <w:rFonts w:ascii="Trebuchet MS" w:hAnsi="Trebuchet MS"/>
          <w:szCs w:val="22"/>
          <w:lang w:val="lt-LT"/>
        </w:rPr>
      </w:pPr>
    </w:p>
    <w:p w14:paraId="26E91FE0" w14:textId="3DE3B8C7" w:rsidR="007453CD" w:rsidRPr="00F17ECC" w:rsidRDefault="007453CD" w:rsidP="00C9122C">
      <w:pPr>
        <w:autoSpaceDE w:val="0"/>
        <w:autoSpaceDN w:val="0"/>
        <w:adjustRightInd w:val="0"/>
        <w:spacing w:after="0"/>
        <w:ind w:firstLine="720"/>
        <w:jc w:val="both"/>
        <w:rPr>
          <w:rFonts w:ascii="Trebuchet MS" w:hAnsi="Trebuchet MS"/>
          <w:szCs w:val="22"/>
          <w:lang w:val="lt-LT"/>
        </w:rPr>
      </w:pPr>
      <w:r w:rsidRPr="006F082D">
        <w:rPr>
          <w:rFonts w:ascii="Trebuchet MS" w:hAnsi="Trebuchet MS"/>
          <w:i/>
          <w:szCs w:val="22"/>
          <w:lang w:val="lt-LT"/>
        </w:rPr>
        <w:t>Pavyzdys</w:t>
      </w:r>
      <w:r w:rsidRPr="00F17ECC">
        <w:rPr>
          <w:rFonts w:ascii="Trebuchet MS" w:hAnsi="Trebuchet MS"/>
          <w:szCs w:val="22"/>
          <w:lang w:val="lt-LT"/>
        </w:rPr>
        <w:t xml:space="preserve">: antkainio nuo visų </w:t>
      </w:r>
      <w:r w:rsidR="006F082D">
        <w:rPr>
          <w:rFonts w:ascii="Trebuchet MS" w:hAnsi="Trebuchet MS"/>
          <w:szCs w:val="22"/>
          <w:lang w:val="lt-LT"/>
        </w:rPr>
        <w:t xml:space="preserve">veiklos </w:t>
      </w:r>
      <w:r w:rsidRPr="00F17ECC">
        <w:rPr>
          <w:rFonts w:ascii="Trebuchet MS" w:hAnsi="Trebuchet MS"/>
          <w:szCs w:val="22"/>
          <w:lang w:val="lt-LT"/>
        </w:rPr>
        <w:t>sąnaudų rodiklis</w:t>
      </w:r>
      <w:r w:rsidR="00E95027">
        <w:rPr>
          <w:rFonts w:ascii="Trebuchet MS" w:hAnsi="Trebuchet MS"/>
          <w:szCs w:val="22"/>
          <w:lang w:val="lt-LT"/>
        </w:rPr>
        <w:t>:</w:t>
      </w:r>
    </w:p>
    <w:tbl>
      <w:tblPr>
        <w:tblStyle w:val="Lentelstinklelis"/>
        <w:tblW w:w="0" w:type="auto"/>
        <w:tblLook w:val="04A0" w:firstRow="1" w:lastRow="0" w:firstColumn="1" w:lastColumn="0" w:noHBand="0" w:noVBand="1"/>
      </w:tblPr>
      <w:tblGrid>
        <w:gridCol w:w="2764"/>
        <w:gridCol w:w="2255"/>
        <w:gridCol w:w="1754"/>
        <w:gridCol w:w="2855"/>
      </w:tblGrid>
      <w:tr w:rsidR="007453CD" w:rsidRPr="00F17ECC" w14:paraId="3E98C608" w14:textId="77777777" w:rsidTr="005D6C83">
        <w:tc>
          <w:tcPr>
            <w:tcW w:w="2764" w:type="dxa"/>
          </w:tcPr>
          <w:p w14:paraId="58789ACE" w14:textId="7240A3BC" w:rsidR="007453CD" w:rsidRPr="00F17ECC" w:rsidRDefault="00025C29" w:rsidP="00C9122C">
            <w:pPr>
              <w:spacing w:after="0"/>
              <w:jc w:val="both"/>
              <w:rPr>
                <w:rFonts w:ascii="Trebuchet MS" w:hAnsi="Trebuchet MS" w:cs="Trebuchet MS"/>
                <w:szCs w:val="22"/>
                <w:lang w:val="lt-LT"/>
              </w:rPr>
            </w:pPr>
            <w:r>
              <w:rPr>
                <w:rFonts w:ascii="Trebuchet MS" w:hAnsi="Trebuchet MS" w:cs="Trebuchet MS"/>
                <w:szCs w:val="22"/>
                <w:lang w:val="lt-LT"/>
              </w:rPr>
              <w:t>Sandorių (veiklos) rūšys</w:t>
            </w:r>
          </w:p>
        </w:tc>
        <w:tc>
          <w:tcPr>
            <w:tcW w:w="2255" w:type="dxa"/>
          </w:tcPr>
          <w:p w14:paraId="25D7C726"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X paslaugos</w:t>
            </w:r>
          </w:p>
        </w:tc>
        <w:tc>
          <w:tcPr>
            <w:tcW w:w="1754" w:type="dxa"/>
          </w:tcPr>
          <w:p w14:paraId="61FFCF60"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Y paslaugos</w:t>
            </w:r>
          </w:p>
        </w:tc>
        <w:tc>
          <w:tcPr>
            <w:tcW w:w="2855" w:type="dxa"/>
          </w:tcPr>
          <w:p w14:paraId="2DC37629"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Persidengiantis intervalas</w:t>
            </w:r>
          </w:p>
        </w:tc>
      </w:tr>
      <w:tr w:rsidR="007453CD" w:rsidRPr="00F17ECC" w14:paraId="25B92E67" w14:textId="77777777" w:rsidTr="005D6C83">
        <w:tc>
          <w:tcPr>
            <w:tcW w:w="2764" w:type="dxa"/>
          </w:tcPr>
          <w:p w14:paraId="05F1F129"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Palyginimų skaičius</w:t>
            </w:r>
          </w:p>
        </w:tc>
        <w:tc>
          <w:tcPr>
            <w:tcW w:w="2255" w:type="dxa"/>
          </w:tcPr>
          <w:p w14:paraId="2DBD539D" w14:textId="77777777" w:rsidR="007453CD" w:rsidRPr="00F17ECC" w:rsidRDefault="007453CD" w:rsidP="00C9122C">
            <w:pPr>
              <w:spacing w:after="0"/>
              <w:rPr>
                <w:rFonts w:ascii="Trebuchet MS" w:hAnsi="Trebuchet MS" w:cs="Trebuchet MS"/>
                <w:szCs w:val="22"/>
                <w:lang w:val="lt-LT"/>
              </w:rPr>
            </w:pPr>
            <w:r w:rsidRPr="00F17ECC">
              <w:rPr>
                <w:rFonts w:ascii="Trebuchet MS" w:hAnsi="Trebuchet MS" w:cs="Trebuchet MS"/>
                <w:szCs w:val="22"/>
                <w:lang w:val="lt-LT"/>
              </w:rPr>
              <w:t>6</w:t>
            </w:r>
          </w:p>
        </w:tc>
        <w:tc>
          <w:tcPr>
            <w:tcW w:w="1754" w:type="dxa"/>
          </w:tcPr>
          <w:p w14:paraId="533D7DD5" w14:textId="77777777" w:rsidR="007453CD" w:rsidRPr="00F17ECC" w:rsidRDefault="007453CD" w:rsidP="00C9122C">
            <w:pPr>
              <w:spacing w:after="0"/>
              <w:rPr>
                <w:rFonts w:ascii="Trebuchet MS" w:hAnsi="Trebuchet MS" w:cs="Trebuchet MS"/>
                <w:szCs w:val="22"/>
                <w:lang w:val="lt-LT"/>
              </w:rPr>
            </w:pPr>
            <w:r w:rsidRPr="00F17ECC">
              <w:rPr>
                <w:rFonts w:ascii="Trebuchet MS" w:hAnsi="Trebuchet MS" w:cs="Trebuchet MS"/>
                <w:szCs w:val="22"/>
                <w:lang w:val="lt-LT"/>
              </w:rPr>
              <w:t>20</w:t>
            </w:r>
          </w:p>
        </w:tc>
        <w:tc>
          <w:tcPr>
            <w:tcW w:w="2855" w:type="dxa"/>
          </w:tcPr>
          <w:p w14:paraId="79113F60" w14:textId="77777777" w:rsidR="007453CD" w:rsidRPr="00F17ECC" w:rsidRDefault="007453CD" w:rsidP="00C9122C">
            <w:pPr>
              <w:spacing w:after="0"/>
              <w:jc w:val="both"/>
              <w:rPr>
                <w:rFonts w:ascii="Trebuchet MS" w:hAnsi="Trebuchet MS" w:cs="Trebuchet MS"/>
                <w:szCs w:val="22"/>
                <w:lang w:val="lt-LT"/>
              </w:rPr>
            </w:pPr>
          </w:p>
        </w:tc>
      </w:tr>
      <w:tr w:rsidR="007453CD" w:rsidRPr="00F17ECC" w14:paraId="3756C674" w14:textId="77777777" w:rsidTr="005D6C83">
        <w:tc>
          <w:tcPr>
            <w:tcW w:w="2764" w:type="dxa"/>
          </w:tcPr>
          <w:p w14:paraId="4C35E7E1"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Apatinis kvartilis</w:t>
            </w:r>
          </w:p>
        </w:tc>
        <w:tc>
          <w:tcPr>
            <w:tcW w:w="2255" w:type="dxa"/>
          </w:tcPr>
          <w:p w14:paraId="4B0D80FF" w14:textId="77777777"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6%</w:t>
            </w:r>
          </w:p>
        </w:tc>
        <w:tc>
          <w:tcPr>
            <w:tcW w:w="1754" w:type="dxa"/>
          </w:tcPr>
          <w:p w14:paraId="601AA3CE" w14:textId="77777777"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4%</w:t>
            </w:r>
          </w:p>
        </w:tc>
        <w:tc>
          <w:tcPr>
            <w:tcW w:w="2855" w:type="dxa"/>
          </w:tcPr>
          <w:p w14:paraId="790B089F" w14:textId="77777777"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6%</w:t>
            </w:r>
          </w:p>
        </w:tc>
      </w:tr>
      <w:tr w:rsidR="007453CD" w:rsidRPr="00F17ECC" w14:paraId="6220CAF1" w14:textId="77777777" w:rsidTr="005D6C83">
        <w:tc>
          <w:tcPr>
            <w:tcW w:w="2764" w:type="dxa"/>
          </w:tcPr>
          <w:p w14:paraId="17083260"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Mediana</w:t>
            </w:r>
          </w:p>
        </w:tc>
        <w:tc>
          <w:tcPr>
            <w:tcW w:w="2255" w:type="dxa"/>
          </w:tcPr>
          <w:p w14:paraId="3081455F" w14:textId="63CC58AB"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1</w:t>
            </w:r>
            <w:r w:rsidR="007C6226">
              <w:rPr>
                <w:rFonts w:ascii="Trebuchet MS" w:hAnsi="Trebuchet MS" w:cs="Trebuchet MS"/>
                <w:szCs w:val="22"/>
                <w:lang w:val="lt-LT"/>
              </w:rPr>
              <w:t>1</w:t>
            </w:r>
            <w:r w:rsidRPr="00F17ECC">
              <w:rPr>
                <w:rFonts w:ascii="Trebuchet MS" w:hAnsi="Trebuchet MS" w:cs="Trebuchet MS"/>
                <w:szCs w:val="22"/>
                <w:lang w:val="lt-LT"/>
              </w:rPr>
              <w:t>%</w:t>
            </w:r>
          </w:p>
        </w:tc>
        <w:tc>
          <w:tcPr>
            <w:tcW w:w="1754" w:type="dxa"/>
          </w:tcPr>
          <w:p w14:paraId="6A4F25B3" w14:textId="77777777"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9%</w:t>
            </w:r>
          </w:p>
        </w:tc>
        <w:tc>
          <w:tcPr>
            <w:tcW w:w="2855" w:type="dxa"/>
          </w:tcPr>
          <w:p w14:paraId="79663C36" w14:textId="31727782" w:rsidR="007453CD" w:rsidRPr="00F17ECC" w:rsidRDefault="007C6226" w:rsidP="00C9122C">
            <w:pPr>
              <w:spacing w:after="0"/>
              <w:jc w:val="center"/>
              <w:rPr>
                <w:rFonts w:ascii="Trebuchet MS" w:hAnsi="Trebuchet MS" w:cs="Trebuchet MS"/>
                <w:szCs w:val="22"/>
                <w:highlight w:val="yellow"/>
                <w:lang w:val="lt-LT"/>
              </w:rPr>
            </w:pPr>
            <w:r>
              <w:rPr>
                <w:rFonts w:ascii="Trebuchet MS" w:hAnsi="Trebuchet MS" w:cs="Trebuchet MS"/>
                <w:szCs w:val="22"/>
                <w:lang w:val="lt-LT"/>
              </w:rPr>
              <w:t>9</w:t>
            </w:r>
            <w:r w:rsidR="007453CD" w:rsidRPr="00F17ECC">
              <w:rPr>
                <w:rFonts w:ascii="Trebuchet MS" w:hAnsi="Trebuchet MS" w:cs="Trebuchet MS"/>
                <w:szCs w:val="22"/>
                <w:lang w:val="lt-LT"/>
              </w:rPr>
              <w:t>%</w:t>
            </w:r>
          </w:p>
        </w:tc>
      </w:tr>
      <w:tr w:rsidR="007453CD" w:rsidRPr="00F17ECC" w14:paraId="29DB28DA" w14:textId="77777777" w:rsidTr="005D6C83">
        <w:tc>
          <w:tcPr>
            <w:tcW w:w="2764" w:type="dxa"/>
          </w:tcPr>
          <w:p w14:paraId="1F166BF9" w14:textId="77777777" w:rsidR="007453CD" w:rsidRPr="00F17ECC" w:rsidRDefault="007453CD" w:rsidP="00C9122C">
            <w:pPr>
              <w:spacing w:after="0"/>
              <w:jc w:val="both"/>
              <w:rPr>
                <w:rFonts w:ascii="Trebuchet MS" w:hAnsi="Trebuchet MS" w:cs="Trebuchet MS"/>
                <w:szCs w:val="22"/>
                <w:lang w:val="lt-LT"/>
              </w:rPr>
            </w:pPr>
            <w:r w:rsidRPr="00F17ECC">
              <w:rPr>
                <w:rFonts w:ascii="Trebuchet MS" w:hAnsi="Trebuchet MS" w:cs="Trebuchet MS"/>
                <w:szCs w:val="22"/>
                <w:lang w:val="lt-LT"/>
              </w:rPr>
              <w:t>Viršutinis kvartilis</w:t>
            </w:r>
          </w:p>
        </w:tc>
        <w:tc>
          <w:tcPr>
            <w:tcW w:w="2255" w:type="dxa"/>
          </w:tcPr>
          <w:p w14:paraId="3A3902EE" w14:textId="0F5F7279"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1</w:t>
            </w:r>
            <w:r w:rsidR="00092585">
              <w:rPr>
                <w:rFonts w:ascii="Trebuchet MS" w:hAnsi="Trebuchet MS" w:cs="Trebuchet MS"/>
                <w:szCs w:val="22"/>
                <w:lang w:val="lt-LT"/>
              </w:rPr>
              <w:t>4</w:t>
            </w:r>
            <w:r w:rsidRPr="00F17ECC">
              <w:rPr>
                <w:rFonts w:ascii="Trebuchet MS" w:hAnsi="Trebuchet MS" w:cs="Trebuchet MS"/>
                <w:szCs w:val="22"/>
                <w:lang w:val="lt-LT"/>
              </w:rPr>
              <w:t>%</w:t>
            </w:r>
          </w:p>
        </w:tc>
        <w:tc>
          <w:tcPr>
            <w:tcW w:w="1754" w:type="dxa"/>
          </w:tcPr>
          <w:p w14:paraId="38322546" w14:textId="5BB740EE"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1</w:t>
            </w:r>
            <w:r w:rsidR="00092585">
              <w:rPr>
                <w:rFonts w:ascii="Trebuchet MS" w:hAnsi="Trebuchet MS" w:cs="Trebuchet MS"/>
                <w:szCs w:val="22"/>
                <w:lang w:val="lt-LT"/>
              </w:rPr>
              <w:t>2</w:t>
            </w:r>
            <w:r w:rsidRPr="00F17ECC">
              <w:rPr>
                <w:rFonts w:ascii="Trebuchet MS" w:hAnsi="Trebuchet MS" w:cs="Trebuchet MS"/>
                <w:szCs w:val="22"/>
                <w:lang w:val="lt-LT"/>
              </w:rPr>
              <w:t>%</w:t>
            </w:r>
          </w:p>
        </w:tc>
        <w:tc>
          <w:tcPr>
            <w:tcW w:w="2855" w:type="dxa"/>
          </w:tcPr>
          <w:p w14:paraId="76CCCCD6" w14:textId="2042D469" w:rsidR="007453CD" w:rsidRPr="00F17ECC" w:rsidRDefault="007453CD" w:rsidP="00C9122C">
            <w:pPr>
              <w:spacing w:after="0"/>
              <w:jc w:val="center"/>
              <w:rPr>
                <w:rFonts w:ascii="Trebuchet MS" w:hAnsi="Trebuchet MS" w:cs="Trebuchet MS"/>
                <w:szCs w:val="22"/>
                <w:lang w:val="lt-LT"/>
              </w:rPr>
            </w:pPr>
            <w:r w:rsidRPr="00F17ECC">
              <w:rPr>
                <w:rFonts w:ascii="Trebuchet MS" w:hAnsi="Trebuchet MS" w:cs="Trebuchet MS"/>
                <w:szCs w:val="22"/>
                <w:lang w:val="lt-LT"/>
              </w:rPr>
              <w:t>1</w:t>
            </w:r>
            <w:r w:rsidR="00092585">
              <w:rPr>
                <w:rFonts w:ascii="Trebuchet MS" w:hAnsi="Trebuchet MS" w:cs="Trebuchet MS"/>
                <w:szCs w:val="22"/>
                <w:lang w:val="lt-LT"/>
              </w:rPr>
              <w:t>2</w:t>
            </w:r>
            <w:r w:rsidRPr="00F17ECC">
              <w:rPr>
                <w:rFonts w:ascii="Trebuchet MS" w:hAnsi="Trebuchet MS" w:cs="Trebuchet MS"/>
                <w:szCs w:val="22"/>
                <w:lang w:val="lt-LT"/>
              </w:rPr>
              <w:t>%</w:t>
            </w:r>
          </w:p>
        </w:tc>
      </w:tr>
    </w:tbl>
    <w:p w14:paraId="27D14D6E" w14:textId="08C374D4" w:rsidR="007453CD" w:rsidRPr="00025C29" w:rsidRDefault="007453CD" w:rsidP="00025C29">
      <w:pPr>
        <w:spacing w:after="0"/>
        <w:ind w:firstLine="720"/>
        <w:jc w:val="both"/>
        <w:rPr>
          <w:rFonts w:ascii="Trebuchet MS" w:hAnsi="Trebuchet MS" w:cs="Trebuchet MS"/>
          <w:szCs w:val="22"/>
          <w:lang w:val="lt-LT"/>
        </w:rPr>
      </w:pPr>
      <w:r w:rsidRPr="00F17ECC">
        <w:rPr>
          <w:rFonts w:ascii="Trebuchet MS" w:hAnsi="Trebuchet MS" w:cs="Trebuchet MS"/>
          <w:szCs w:val="22"/>
          <w:lang w:val="lt-LT"/>
        </w:rPr>
        <w:lastRenderedPageBreak/>
        <w:t xml:space="preserve">Persidengiančio intervalo aibė </w:t>
      </w:r>
      <w:r w:rsidR="006F082D">
        <w:rPr>
          <w:rFonts w:ascii="Trebuchet MS" w:hAnsi="Trebuchet MS" w:cs="Trebuchet MS"/>
          <w:szCs w:val="22"/>
          <w:lang w:val="lt-LT"/>
        </w:rPr>
        <w:t xml:space="preserve">yra </w:t>
      </w:r>
      <w:r w:rsidRPr="00F17ECC">
        <w:rPr>
          <w:rFonts w:ascii="Trebuchet MS" w:hAnsi="Trebuchet MS" w:cs="Trebuchet MS"/>
          <w:szCs w:val="22"/>
          <w:lang w:val="lt-LT"/>
        </w:rPr>
        <w:t>nuo 6 iki 1</w:t>
      </w:r>
      <w:r w:rsidR="007C6226">
        <w:rPr>
          <w:rFonts w:ascii="Trebuchet MS" w:hAnsi="Trebuchet MS" w:cs="Trebuchet MS"/>
          <w:szCs w:val="22"/>
          <w:lang w:val="lt-LT"/>
        </w:rPr>
        <w:t>2</w:t>
      </w:r>
      <w:r w:rsidRPr="00F17ECC">
        <w:rPr>
          <w:rFonts w:ascii="Trebuchet MS" w:hAnsi="Trebuchet MS" w:cs="Trebuchet MS"/>
          <w:szCs w:val="22"/>
          <w:lang w:val="lt-LT"/>
        </w:rPr>
        <w:t xml:space="preserve"> proc., esant </w:t>
      </w:r>
      <w:r w:rsidR="007C6226">
        <w:rPr>
          <w:rFonts w:ascii="Trebuchet MS" w:hAnsi="Trebuchet MS" w:cs="Trebuchet MS"/>
          <w:szCs w:val="22"/>
          <w:lang w:val="lt-LT"/>
        </w:rPr>
        <w:t>9</w:t>
      </w:r>
      <w:r w:rsidRPr="00F17ECC">
        <w:rPr>
          <w:rFonts w:ascii="Trebuchet MS" w:hAnsi="Trebuchet MS" w:cs="Trebuchet MS"/>
          <w:szCs w:val="22"/>
          <w:lang w:val="lt-LT"/>
        </w:rPr>
        <w:t xml:space="preserve"> proc. medianai</w:t>
      </w:r>
      <w:r w:rsidR="006F082D">
        <w:rPr>
          <w:rFonts w:ascii="Trebuchet MS" w:hAnsi="Trebuchet MS" w:cs="Trebuchet MS"/>
          <w:szCs w:val="22"/>
          <w:lang w:val="lt-LT"/>
        </w:rPr>
        <w:t>. Su</w:t>
      </w:r>
      <w:r w:rsidRPr="00F17ECC">
        <w:rPr>
          <w:rFonts w:ascii="Trebuchet MS" w:hAnsi="Trebuchet MS" w:cs="Trebuchet MS"/>
          <w:szCs w:val="22"/>
          <w:lang w:val="lt-LT"/>
        </w:rPr>
        <w:t>paprastinimo tikslais</w:t>
      </w:r>
      <w:r w:rsidR="006F082D">
        <w:rPr>
          <w:rFonts w:ascii="Trebuchet MS" w:hAnsi="Trebuchet MS" w:cs="Trebuchet MS"/>
          <w:szCs w:val="22"/>
          <w:lang w:val="lt-LT"/>
        </w:rPr>
        <w:t xml:space="preserve"> šis persidengiantis intervalas</w:t>
      </w:r>
      <w:r w:rsidRPr="00F17ECC">
        <w:rPr>
          <w:rFonts w:ascii="Trebuchet MS" w:hAnsi="Trebuchet MS" w:cs="Trebuchet MS"/>
          <w:szCs w:val="22"/>
          <w:lang w:val="lt-LT"/>
        </w:rPr>
        <w:t xml:space="preserve"> galėtų būti taikoma</w:t>
      </w:r>
      <w:r w:rsidR="006F082D">
        <w:rPr>
          <w:rFonts w:ascii="Trebuchet MS" w:hAnsi="Trebuchet MS" w:cs="Trebuchet MS"/>
          <w:szCs w:val="22"/>
          <w:lang w:val="lt-LT"/>
        </w:rPr>
        <w:t>s</w:t>
      </w:r>
      <w:r w:rsidRPr="00F17ECC">
        <w:rPr>
          <w:rFonts w:ascii="Trebuchet MS" w:hAnsi="Trebuchet MS" w:cs="Trebuchet MS"/>
          <w:szCs w:val="22"/>
          <w:lang w:val="lt-LT"/>
        </w:rPr>
        <w:t xml:space="preserve"> siekiant nustatyti antkaini</w:t>
      </w:r>
      <w:r w:rsidR="006F082D">
        <w:rPr>
          <w:rFonts w:ascii="Trebuchet MS" w:hAnsi="Trebuchet MS" w:cs="Trebuchet MS"/>
          <w:szCs w:val="22"/>
          <w:lang w:val="lt-LT"/>
        </w:rPr>
        <w:t>ų nuo visų veiklos sąnaudų rodiklius</w:t>
      </w:r>
      <w:r w:rsidRPr="00F17ECC">
        <w:rPr>
          <w:rFonts w:ascii="Trebuchet MS" w:hAnsi="Trebuchet MS" w:cs="Trebuchet MS"/>
          <w:szCs w:val="22"/>
          <w:lang w:val="lt-LT"/>
        </w:rPr>
        <w:t xml:space="preserve"> visų vertinamųjų paslaugų (X ir Y) atžvilgiu, neskirstant į atskiras rūšis. </w:t>
      </w:r>
    </w:p>
    <w:sectPr w:rsidR="007453CD" w:rsidRPr="00025C29" w:rsidSect="0014432F">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FF80A" w14:textId="77777777" w:rsidR="00D610D4" w:rsidRDefault="00D610D4" w:rsidP="007453CD">
      <w:r>
        <w:separator/>
      </w:r>
    </w:p>
  </w:endnote>
  <w:endnote w:type="continuationSeparator" w:id="0">
    <w:p w14:paraId="5E7D42D8" w14:textId="77777777" w:rsidR="00D610D4" w:rsidRDefault="00D610D4" w:rsidP="0074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Univers for KPMG Light">
    <w:altName w:val="Corbel"/>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BC4D6" w14:textId="77777777" w:rsidR="00D610D4" w:rsidRDefault="00D610D4" w:rsidP="007453CD">
      <w:r>
        <w:separator/>
      </w:r>
    </w:p>
  </w:footnote>
  <w:footnote w:type="continuationSeparator" w:id="0">
    <w:p w14:paraId="3A6018F8" w14:textId="77777777" w:rsidR="00D610D4" w:rsidRDefault="00D610D4" w:rsidP="007453CD">
      <w:r>
        <w:continuationSeparator/>
      </w:r>
    </w:p>
  </w:footnote>
  <w:footnote w:id="1">
    <w:p w14:paraId="3BBE7020" w14:textId="77777777" w:rsidR="0028727E" w:rsidRPr="00C61502" w:rsidRDefault="0028727E" w:rsidP="00C61502">
      <w:pPr>
        <w:pStyle w:val="Puslapioinaostekstas"/>
        <w:spacing w:after="0"/>
        <w:jc w:val="both"/>
        <w:rPr>
          <w:rFonts w:asciiTheme="minorHAnsi" w:hAnsiTheme="minorHAnsi"/>
          <w:lang w:val="lt-LT"/>
        </w:rPr>
      </w:pPr>
      <w:r>
        <w:rPr>
          <w:rStyle w:val="Puslapioinaosnuoroda"/>
        </w:rPr>
        <w:footnoteRef/>
      </w:r>
      <w:r>
        <w:t xml:space="preserve"> </w:t>
      </w:r>
      <w:r w:rsidRPr="00EB15A7">
        <w:rPr>
          <w:rFonts w:ascii="Trebuchet MS" w:hAnsi="Trebuchet MS"/>
          <w:sz w:val="18"/>
          <w:szCs w:val="18"/>
          <w:lang w:val="lt-LT" w:eastAsia="lt-LT"/>
        </w:rPr>
        <w:t xml:space="preserve">EBPO sandorių kainodaros gairės tarptautinėms įmonėms ir mokesčių institucijoms (angl. </w:t>
      </w:r>
      <w:r w:rsidRPr="00EB15A7">
        <w:rPr>
          <w:rFonts w:ascii="Trebuchet MS" w:hAnsi="Trebuchet MS"/>
          <w:i/>
          <w:sz w:val="18"/>
          <w:szCs w:val="18"/>
          <w:lang w:val="lt-LT" w:eastAsia="lt-LT"/>
        </w:rPr>
        <w:t xml:space="preserve">OECD </w:t>
      </w:r>
      <w:proofErr w:type="spellStart"/>
      <w:r w:rsidRPr="00EB15A7">
        <w:rPr>
          <w:rFonts w:ascii="Trebuchet MS" w:hAnsi="Trebuchet MS"/>
          <w:i/>
          <w:sz w:val="18"/>
          <w:szCs w:val="18"/>
          <w:lang w:val="lt-LT" w:eastAsia="lt-LT"/>
        </w:rPr>
        <w:t>Transfer</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Pricing</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Guidelines</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for</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Multinational</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Enterprises</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and</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Tax</w:t>
      </w:r>
      <w:proofErr w:type="spellEnd"/>
      <w:r w:rsidRPr="00EB15A7">
        <w:rPr>
          <w:rFonts w:ascii="Trebuchet MS" w:hAnsi="Trebuchet MS"/>
          <w:i/>
          <w:sz w:val="18"/>
          <w:szCs w:val="18"/>
          <w:lang w:val="lt-LT" w:eastAsia="lt-LT"/>
        </w:rPr>
        <w:t xml:space="preserve"> </w:t>
      </w:r>
      <w:proofErr w:type="spellStart"/>
      <w:r w:rsidRPr="00EB15A7">
        <w:rPr>
          <w:rFonts w:ascii="Trebuchet MS" w:hAnsi="Trebuchet MS"/>
          <w:i/>
          <w:sz w:val="18"/>
          <w:szCs w:val="18"/>
          <w:lang w:val="lt-LT" w:eastAsia="lt-LT"/>
        </w:rPr>
        <w:t>Administrations</w:t>
      </w:r>
      <w:proofErr w:type="spellEnd"/>
      <w:r w:rsidRPr="00EB15A7">
        <w:rPr>
          <w:rFonts w:ascii="Trebuchet MS" w:hAnsi="Trebuchet MS"/>
          <w:sz w:val="18"/>
          <w:szCs w:val="18"/>
          <w:lang w:val="lt-LT" w:eastAsia="lt-LT"/>
        </w:rPr>
        <w:t>).</w:t>
      </w:r>
    </w:p>
  </w:footnote>
  <w:footnote w:id="2">
    <w:p w14:paraId="27DA755A" w14:textId="77777777" w:rsidR="0028727E" w:rsidRPr="00DB58D3" w:rsidRDefault="0028727E" w:rsidP="00DB58D3">
      <w:pPr>
        <w:pStyle w:val="Puslapioinaostekstas"/>
        <w:spacing w:after="0"/>
        <w:rPr>
          <w:rFonts w:ascii="Trebuchet MS" w:hAnsi="Trebuchet MS"/>
          <w:sz w:val="18"/>
          <w:szCs w:val="18"/>
          <w:lang w:val="lt-LT"/>
        </w:rPr>
      </w:pPr>
      <w:r w:rsidRPr="00DB58D3">
        <w:rPr>
          <w:rStyle w:val="Puslapioinaosnuoroda"/>
          <w:rFonts w:ascii="Trebuchet MS" w:hAnsi="Trebuchet MS"/>
          <w:sz w:val="18"/>
          <w:szCs w:val="18"/>
        </w:rPr>
        <w:footnoteRef/>
      </w:r>
      <w:r w:rsidRPr="00DB58D3">
        <w:rPr>
          <w:rFonts w:ascii="Trebuchet MS" w:hAnsi="Trebuchet MS"/>
          <w:sz w:val="18"/>
          <w:szCs w:val="18"/>
        </w:rPr>
        <w:t xml:space="preserve"> </w:t>
      </w:r>
      <w:proofErr w:type="spellStart"/>
      <w:r w:rsidRPr="00DB58D3">
        <w:rPr>
          <w:rFonts w:ascii="Trebuchet MS" w:hAnsi="Trebuchet MS"/>
          <w:sz w:val="18"/>
          <w:szCs w:val="18"/>
          <w:lang w:eastAsia="lt-LT"/>
        </w:rPr>
        <w:t>Veiklos</w:t>
      </w:r>
      <w:proofErr w:type="spellEnd"/>
      <w:r w:rsidRPr="00DB58D3">
        <w:rPr>
          <w:rFonts w:ascii="Trebuchet MS" w:hAnsi="Trebuchet MS"/>
          <w:sz w:val="18"/>
          <w:szCs w:val="18"/>
          <w:lang w:eastAsia="lt-LT"/>
        </w:rPr>
        <w:t xml:space="preserve"> </w:t>
      </w:r>
      <w:proofErr w:type="spellStart"/>
      <w:r w:rsidRPr="00DB58D3">
        <w:rPr>
          <w:rFonts w:ascii="Trebuchet MS" w:hAnsi="Trebuchet MS"/>
          <w:sz w:val="18"/>
          <w:szCs w:val="18"/>
          <w:lang w:eastAsia="lt-LT"/>
        </w:rPr>
        <w:t>pelnas</w:t>
      </w:r>
      <w:proofErr w:type="spellEnd"/>
      <w:r w:rsidRPr="00DB58D3">
        <w:rPr>
          <w:rFonts w:ascii="Trebuchet MS" w:hAnsi="Trebuchet MS"/>
          <w:sz w:val="18"/>
          <w:szCs w:val="18"/>
          <w:lang w:eastAsia="lt-LT"/>
        </w:rPr>
        <w:t xml:space="preserve"> / (</w:t>
      </w:r>
      <w:proofErr w:type="spellStart"/>
      <w:r w:rsidRPr="00DB58D3">
        <w:rPr>
          <w:rFonts w:ascii="Trebuchet MS" w:hAnsi="Trebuchet MS"/>
          <w:sz w:val="18"/>
          <w:szCs w:val="18"/>
          <w:lang w:eastAsia="lt-LT"/>
        </w:rPr>
        <w:t>Savikaina</w:t>
      </w:r>
      <w:proofErr w:type="spellEnd"/>
      <w:r w:rsidRPr="00DB58D3">
        <w:rPr>
          <w:rFonts w:ascii="Trebuchet MS" w:hAnsi="Trebuchet MS"/>
          <w:sz w:val="18"/>
          <w:szCs w:val="18"/>
          <w:lang w:eastAsia="lt-LT"/>
        </w:rPr>
        <w:t xml:space="preserve"> + </w:t>
      </w:r>
      <w:proofErr w:type="spellStart"/>
      <w:r w:rsidRPr="00DB58D3">
        <w:rPr>
          <w:rFonts w:ascii="Trebuchet MS" w:hAnsi="Trebuchet MS"/>
          <w:sz w:val="18"/>
          <w:szCs w:val="18"/>
          <w:lang w:eastAsia="lt-LT"/>
        </w:rPr>
        <w:t>Veiklos</w:t>
      </w:r>
      <w:proofErr w:type="spellEnd"/>
      <w:r w:rsidRPr="00DB58D3">
        <w:rPr>
          <w:rFonts w:ascii="Trebuchet MS" w:hAnsi="Trebuchet MS"/>
          <w:sz w:val="18"/>
          <w:szCs w:val="18"/>
          <w:lang w:eastAsia="lt-LT"/>
        </w:rPr>
        <w:t xml:space="preserve"> </w:t>
      </w:r>
      <w:proofErr w:type="spellStart"/>
      <w:r w:rsidRPr="00DB58D3">
        <w:rPr>
          <w:rFonts w:ascii="Trebuchet MS" w:hAnsi="Trebuchet MS"/>
          <w:sz w:val="18"/>
          <w:szCs w:val="18"/>
          <w:lang w:eastAsia="lt-LT"/>
        </w:rPr>
        <w:t>sąnaudos</w:t>
      </w:r>
      <w:proofErr w:type="spellEnd"/>
      <w:r w:rsidRPr="00DB58D3">
        <w:rPr>
          <w:rFonts w:ascii="Trebuchet MS" w:hAnsi="Trebuchet MS"/>
          <w:sz w:val="18"/>
          <w:szCs w:val="18"/>
          <w:lang w:eastAsia="lt-LT"/>
        </w:rPr>
        <w:t>).</w:t>
      </w:r>
    </w:p>
  </w:footnote>
  <w:footnote w:id="3">
    <w:p w14:paraId="232D5CEB" w14:textId="2A654A74" w:rsidR="0028727E" w:rsidRPr="00681CEA" w:rsidRDefault="0028727E" w:rsidP="0028727E">
      <w:pPr>
        <w:pStyle w:val="Puslapioinaostekstas"/>
        <w:spacing w:after="0"/>
        <w:jc w:val="both"/>
        <w:rPr>
          <w:rFonts w:ascii="Trebuchet MS" w:hAnsi="Trebuchet MS"/>
          <w:sz w:val="18"/>
          <w:szCs w:val="18"/>
          <w:lang w:val="lt-LT"/>
        </w:rPr>
      </w:pPr>
      <w:r w:rsidRPr="00586E36">
        <w:rPr>
          <w:rStyle w:val="Puslapioinaosnuoroda"/>
          <w:rFonts w:ascii="Trebuchet MS" w:hAnsi="Trebuchet MS"/>
          <w:sz w:val="18"/>
          <w:szCs w:val="18"/>
        </w:rPr>
        <w:footnoteRef/>
      </w:r>
      <w:r w:rsidRPr="00586E36">
        <w:rPr>
          <w:rFonts w:ascii="Trebuchet MS" w:hAnsi="Trebuchet MS"/>
          <w:sz w:val="18"/>
          <w:szCs w:val="18"/>
        </w:rPr>
        <w:t xml:space="preserve"> </w:t>
      </w:r>
      <w:r w:rsidRPr="004C534B">
        <w:rPr>
          <w:rFonts w:ascii="Trebuchet MS" w:hAnsi="Trebuchet MS"/>
          <w:sz w:val="18"/>
          <w:szCs w:val="18"/>
          <w:lang w:val="lt-LT"/>
        </w:rPr>
        <w:t>Lietuvos Respublikos pelno mokesčio įstatymo 40 straipsnio 2 dalies ir Lietuvos Respublikos gyventojų pajamų mokesčio įstatymo 15 straipsnio 2 dalies įgyvendinimo taisyklės, patvirtintos Lietuvos Respublikos finansų ministro 2004 m. balandžio 9 d. įsakymu Nr. 1K-123</w:t>
      </w:r>
      <w:r>
        <w:rPr>
          <w:rFonts w:ascii="Trebuchet MS" w:hAnsi="Trebuchet MS"/>
          <w:sz w:val="18"/>
          <w:szCs w:val="18"/>
          <w:lang w:val="lt-LT"/>
        </w:rPr>
        <w:t>, toliau – Kainodaros taisyklės</w:t>
      </w:r>
      <w:r w:rsidRPr="00681CEA">
        <w:rPr>
          <w:rFonts w:ascii="Trebuchet MS" w:hAnsi="Trebuchet MS"/>
          <w:sz w:val="18"/>
          <w:szCs w:val="18"/>
          <w:lang w:val="lt-LT"/>
        </w:rPr>
        <w:t xml:space="preserve">. </w:t>
      </w:r>
    </w:p>
  </w:footnote>
  <w:footnote w:id="4">
    <w:p w14:paraId="29E05E9B" w14:textId="0AE60A47" w:rsidR="0028727E" w:rsidRPr="00A17C71" w:rsidRDefault="0028727E" w:rsidP="00A17C71">
      <w:pPr>
        <w:pStyle w:val="Puslapioinaostekstas"/>
        <w:spacing w:after="0"/>
        <w:jc w:val="both"/>
        <w:rPr>
          <w:rFonts w:asciiTheme="minorHAnsi" w:hAnsiTheme="minorHAnsi"/>
          <w:lang w:val="lt-LT"/>
        </w:rPr>
      </w:pPr>
      <w:r>
        <w:rPr>
          <w:rStyle w:val="Puslapioinaosnuoroda"/>
        </w:rPr>
        <w:footnoteRef/>
      </w:r>
      <w:r>
        <w:t xml:space="preserve"> </w:t>
      </w:r>
      <w:r w:rsidRPr="002148AE">
        <w:rPr>
          <w:rFonts w:ascii="Trebuchet MS" w:hAnsi="Trebuchet MS"/>
          <w:sz w:val="18"/>
          <w:szCs w:val="18"/>
          <w:lang w:val="lt-LT"/>
        </w:rPr>
        <w:t>Mokesčių mokėtojo prašymo pritarti būsimojo kontroliuojamojo sandorio kainodaros taisyklėms pateikimo ir nagrinėjimo,</w:t>
      </w:r>
      <w:r w:rsidRPr="00AC3E85">
        <w:rPr>
          <w:rFonts w:ascii="Trebuchet MS" w:hAnsi="Trebuchet MS"/>
          <w:sz w:val="18"/>
          <w:szCs w:val="18"/>
          <w:lang w:val="lt-LT"/>
        </w:rPr>
        <w:t xml:space="preserve"> mokesčių</w:t>
      </w:r>
      <w:r w:rsidRPr="001C6A3A">
        <w:rPr>
          <w:rFonts w:ascii="Trebuchet MS" w:hAnsi="Trebuchet MS"/>
          <w:sz w:val="18"/>
          <w:szCs w:val="18"/>
          <w:lang w:val="lt-LT"/>
        </w:rPr>
        <w:t xml:space="preserve"> administratorių įpareigojančio sprendimo priėmimo ir būsimojo kontroliuojamojo sandorio kainodaros taisyklių laikymosi ataskaitos pateikimo mokesčių administratoriui taisyklės patvirtintos Valstybinės mokesčių inspekcijos prie Lietuvos Respublikos finansų ministerijos viršininko 2025 m. rugsėjo 15 d. įsakymu Nr. VA-81</w:t>
      </w:r>
      <w:r>
        <w:rPr>
          <w:rFonts w:ascii="Trebuchet MS" w:hAnsi="Trebuchet MS"/>
          <w:sz w:val="18"/>
          <w:szCs w:val="18"/>
          <w:lang w:val="lt-LT"/>
        </w:rPr>
        <w:t>.</w:t>
      </w:r>
    </w:p>
  </w:footnote>
  <w:footnote w:id="5">
    <w:p w14:paraId="596F6F8E" w14:textId="6B9D6A2D" w:rsidR="0028727E" w:rsidRPr="003A47C4" w:rsidRDefault="0028727E" w:rsidP="003A47C4">
      <w:pPr>
        <w:pStyle w:val="Puslapioinaostekstas"/>
        <w:spacing w:after="0"/>
        <w:rPr>
          <w:rFonts w:ascii="Trebuchet MS" w:hAnsi="Trebuchet MS"/>
          <w:sz w:val="18"/>
          <w:szCs w:val="18"/>
          <w:lang w:val="lt-LT"/>
        </w:rPr>
      </w:pPr>
      <w:r w:rsidRPr="003A47C4">
        <w:rPr>
          <w:rStyle w:val="Puslapioinaosnuoroda"/>
          <w:rFonts w:ascii="Trebuchet MS" w:hAnsi="Trebuchet MS"/>
          <w:sz w:val="18"/>
          <w:szCs w:val="18"/>
        </w:rPr>
        <w:footnoteRef/>
      </w:r>
      <w:r w:rsidRPr="003A47C4">
        <w:rPr>
          <w:rFonts w:ascii="Trebuchet MS" w:hAnsi="Trebuchet MS"/>
          <w:sz w:val="18"/>
          <w:szCs w:val="18"/>
        </w:rPr>
        <w:t xml:space="preserve"> </w:t>
      </w:r>
      <w:r w:rsidRPr="003A47C4">
        <w:rPr>
          <w:rFonts w:ascii="Trebuchet MS" w:hAnsi="Trebuchet MS"/>
          <w:sz w:val="18"/>
          <w:szCs w:val="18"/>
          <w:lang w:val="lt-LT"/>
        </w:rPr>
        <w:t>Veiklos pelnas (EBIT) /</w:t>
      </w:r>
      <w:r>
        <w:rPr>
          <w:rFonts w:ascii="Trebuchet MS" w:hAnsi="Trebuchet MS"/>
          <w:sz w:val="18"/>
          <w:szCs w:val="18"/>
          <w:lang w:val="lt-LT"/>
        </w:rPr>
        <w:t xml:space="preserve"> </w:t>
      </w:r>
      <w:r w:rsidRPr="003A47C4">
        <w:rPr>
          <w:rFonts w:ascii="Trebuchet MS" w:hAnsi="Trebuchet MS"/>
          <w:sz w:val="18"/>
          <w:szCs w:val="18"/>
          <w:lang w:val="lt-LT"/>
        </w:rPr>
        <w:t>Pajamos.</w:t>
      </w:r>
    </w:p>
  </w:footnote>
  <w:footnote w:id="6">
    <w:p w14:paraId="456D5891" w14:textId="147ECD3D" w:rsidR="0028727E" w:rsidRPr="00D60E94" w:rsidRDefault="0028727E" w:rsidP="00F97AA4">
      <w:pPr>
        <w:pStyle w:val="Puslapioinaostekstas"/>
        <w:spacing w:after="0"/>
        <w:jc w:val="both"/>
        <w:rPr>
          <w:rFonts w:ascii="Trebuchet MS" w:hAnsi="Trebuchet MS"/>
          <w:sz w:val="18"/>
          <w:szCs w:val="18"/>
          <w:lang w:val="lt-LT"/>
        </w:rPr>
      </w:pPr>
      <w:r>
        <w:rPr>
          <w:rStyle w:val="Puslapioinaosnuoroda"/>
        </w:rPr>
        <w:footnoteRef/>
      </w:r>
      <w:r>
        <w:t xml:space="preserve"> </w:t>
      </w:r>
      <w:r w:rsidRPr="00D60E94">
        <w:rPr>
          <w:rFonts w:ascii="Trebuchet MS" w:hAnsi="Trebuchet MS"/>
          <w:sz w:val="18"/>
          <w:szCs w:val="18"/>
          <w:lang w:val="lt-LT"/>
        </w:rPr>
        <w:t>Palyginimų skaičius nėra ribojamas, tačiau siekiant kokybiškos analizės, rekomenduojama atrankos metu pritaikyti daugiau individualizuotų atrankos kriterijų, kad atrink</w:t>
      </w:r>
      <w:r>
        <w:rPr>
          <w:rFonts w:ascii="Trebuchet MS" w:hAnsi="Trebuchet MS"/>
          <w:sz w:val="18"/>
          <w:szCs w:val="18"/>
          <w:lang w:val="lt-LT"/>
        </w:rPr>
        <w:t>t</w:t>
      </w:r>
      <w:r w:rsidRPr="00D60E94">
        <w:rPr>
          <w:rFonts w:ascii="Trebuchet MS" w:hAnsi="Trebuchet MS"/>
          <w:sz w:val="18"/>
          <w:szCs w:val="18"/>
          <w:lang w:val="lt-LT"/>
        </w:rPr>
        <w:t xml:space="preserve">a aibė nebūtų </w:t>
      </w:r>
      <w:r>
        <w:rPr>
          <w:rFonts w:ascii="Trebuchet MS" w:hAnsi="Trebuchet MS"/>
          <w:sz w:val="18"/>
          <w:szCs w:val="18"/>
          <w:lang w:val="lt-LT"/>
        </w:rPr>
        <w:t>pernelyg</w:t>
      </w:r>
      <w:r w:rsidRPr="00D60E94">
        <w:rPr>
          <w:rFonts w:ascii="Trebuchet MS" w:hAnsi="Trebuchet MS"/>
          <w:sz w:val="18"/>
          <w:szCs w:val="18"/>
          <w:lang w:val="lt-LT"/>
        </w:rPr>
        <w:t xml:space="preserve"> plati</w:t>
      </w:r>
      <w:r>
        <w:rPr>
          <w:rFonts w:ascii="Trebuchet MS" w:hAnsi="Trebuchet MS"/>
          <w:sz w:val="18"/>
          <w:szCs w:val="18"/>
          <w:lang w:val="lt-LT"/>
        </w:rPr>
        <w:t xml:space="preserve"> (pavyzdžiui, siekianti tūkstančius galimų palyginimų)</w:t>
      </w:r>
      <w:r w:rsidRPr="00D60E94">
        <w:rPr>
          <w:rFonts w:ascii="Trebuchet MS" w:hAnsi="Trebuchet MS"/>
          <w:sz w:val="18"/>
          <w:szCs w:val="18"/>
          <w:lang w:val="lt-LT"/>
        </w:rPr>
        <w:t xml:space="preserve">. </w:t>
      </w:r>
    </w:p>
  </w:footnote>
  <w:footnote w:id="7">
    <w:p w14:paraId="110240F1" w14:textId="0D5E2547" w:rsidR="0028727E" w:rsidRPr="00D23E2B" w:rsidRDefault="0028727E" w:rsidP="00385146">
      <w:pPr>
        <w:pStyle w:val="Puslapioinaostekstas"/>
        <w:spacing w:after="0"/>
        <w:jc w:val="both"/>
        <w:rPr>
          <w:rFonts w:ascii="Trebuchet MS" w:hAnsi="Trebuchet MS"/>
          <w:sz w:val="18"/>
          <w:szCs w:val="18"/>
          <w:lang w:val="lt-LT"/>
        </w:rPr>
      </w:pPr>
      <w:r w:rsidRPr="00385146">
        <w:rPr>
          <w:rStyle w:val="Puslapioinaosnuoroda"/>
          <w:rFonts w:ascii="Trebuchet MS" w:hAnsi="Trebuchet MS"/>
          <w:sz w:val="18"/>
          <w:szCs w:val="18"/>
        </w:rPr>
        <w:footnoteRef/>
      </w:r>
      <w:r w:rsidRPr="00385146">
        <w:rPr>
          <w:rFonts w:ascii="Trebuchet MS" w:hAnsi="Trebuchet MS"/>
          <w:sz w:val="18"/>
          <w:szCs w:val="18"/>
        </w:rPr>
        <w:t xml:space="preserve"> </w:t>
      </w:r>
      <w:proofErr w:type="spellStart"/>
      <w:r w:rsidRPr="00D23E2B">
        <w:rPr>
          <w:rFonts w:ascii="Trebuchet MS" w:hAnsi="Trebuchet MS"/>
          <w:sz w:val="18"/>
          <w:szCs w:val="18"/>
          <w:lang w:val="lt-LT"/>
        </w:rPr>
        <w:t>Pvz</w:t>
      </w:r>
      <w:proofErr w:type="spellEnd"/>
      <w:r w:rsidRPr="00E62576">
        <w:rPr>
          <w:rFonts w:ascii="Trebuchet MS" w:hAnsi="Trebuchet MS"/>
          <w:sz w:val="18"/>
          <w:szCs w:val="18"/>
          <w:lang w:val="lt-LT"/>
        </w:rPr>
        <w:t>.,</w:t>
      </w:r>
      <w:r w:rsidRPr="00E62576">
        <w:rPr>
          <w:rFonts w:ascii="Trebuchet MS" w:hAnsi="Trebuchet MS"/>
          <w:sz w:val="18"/>
          <w:szCs w:val="18"/>
          <w:lang w:val="lt-LT" w:eastAsia="lt-LT"/>
        </w:rPr>
        <w:t>EBPO gairėse, ES Jungtinio sandorių kainodaros forumo parengtuose dokumentuose (pvz. 2016 m. Ataskaita apie palyginimų naudojimą</w:t>
      </w:r>
      <w:r w:rsidRPr="00D23E2B">
        <w:rPr>
          <w:rFonts w:ascii="Trebuchet MS" w:hAnsi="Trebuchet MS"/>
          <w:sz w:val="18"/>
          <w:szCs w:val="18"/>
          <w:lang w:val="lt-LT" w:eastAsia="lt-LT"/>
        </w:rPr>
        <w:t xml:space="preserve"> ES, angl. </w:t>
      </w:r>
      <w:r w:rsidRPr="00D23E2B">
        <w:rPr>
          <w:rFonts w:ascii="Trebuchet MS" w:hAnsi="Trebuchet MS"/>
          <w:i/>
          <w:sz w:val="18"/>
          <w:szCs w:val="18"/>
          <w:lang w:val="lt-LT" w:eastAsia="lt-LT"/>
        </w:rPr>
        <w:t xml:space="preserve">EU </w:t>
      </w:r>
      <w:proofErr w:type="spellStart"/>
      <w:r w:rsidRPr="00D23E2B">
        <w:rPr>
          <w:rFonts w:ascii="Trebuchet MS" w:hAnsi="Trebuchet MS"/>
          <w:i/>
          <w:sz w:val="18"/>
          <w:szCs w:val="18"/>
          <w:lang w:val="lt-LT" w:eastAsia="lt-LT"/>
        </w:rPr>
        <w:t>Joint</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Transfer</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Pricing</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Forum</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Report</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on</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the</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Use</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of</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Comparables</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in</w:t>
      </w:r>
      <w:proofErr w:type="spellEnd"/>
      <w:r w:rsidRPr="00D23E2B">
        <w:rPr>
          <w:rFonts w:ascii="Trebuchet MS" w:hAnsi="Trebuchet MS"/>
          <w:i/>
          <w:sz w:val="18"/>
          <w:szCs w:val="18"/>
          <w:lang w:val="lt-LT" w:eastAsia="lt-LT"/>
        </w:rPr>
        <w:t xml:space="preserve"> </w:t>
      </w:r>
      <w:proofErr w:type="spellStart"/>
      <w:r w:rsidRPr="00D23E2B">
        <w:rPr>
          <w:rFonts w:ascii="Trebuchet MS" w:hAnsi="Trebuchet MS"/>
          <w:i/>
          <w:sz w:val="18"/>
          <w:szCs w:val="18"/>
          <w:lang w:val="lt-LT" w:eastAsia="lt-LT"/>
        </w:rPr>
        <w:t>the</w:t>
      </w:r>
      <w:proofErr w:type="spellEnd"/>
      <w:r w:rsidRPr="00D23E2B">
        <w:rPr>
          <w:rFonts w:ascii="Trebuchet MS" w:hAnsi="Trebuchet MS"/>
          <w:i/>
          <w:sz w:val="18"/>
          <w:szCs w:val="18"/>
          <w:lang w:val="lt-LT" w:eastAsia="lt-LT"/>
        </w:rPr>
        <w:t xml:space="preserve"> EU</w:t>
      </w:r>
      <w:r w:rsidRPr="00D23E2B">
        <w:rPr>
          <w:rFonts w:ascii="Trebuchet MS" w:hAnsi="Trebuchet MS"/>
          <w:sz w:val="18"/>
          <w:szCs w:val="18"/>
          <w:lang w:val="lt-LT" w:eastAsia="lt-LT"/>
        </w:rPr>
        <w:t xml:space="preserve">) ir kt. </w:t>
      </w:r>
    </w:p>
  </w:footnote>
  <w:footnote w:id="8">
    <w:p w14:paraId="5E1E0410" w14:textId="37FFC714" w:rsidR="0028727E" w:rsidRPr="001D7392" w:rsidRDefault="0028727E" w:rsidP="001D7392">
      <w:pPr>
        <w:spacing w:after="0"/>
        <w:rPr>
          <w:rFonts w:ascii="Trebuchet MS" w:eastAsiaTheme="minorHAnsi" w:hAnsi="Trebuchet MS"/>
          <w:color w:val="000000"/>
          <w:sz w:val="18"/>
          <w:szCs w:val="18"/>
          <w:lang w:val="lt-LT" w:eastAsia="en-US"/>
        </w:rPr>
      </w:pPr>
      <w:r w:rsidRPr="001D7392">
        <w:rPr>
          <w:rStyle w:val="Puslapioinaosnuoroda"/>
          <w:rFonts w:ascii="Trebuchet MS" w:hAnsi="Trebuchet MS"/>
          <w:sz w:val="18"/>
          <w:szCs w:val="18"/>
        </w:rPr>
        <w:footnoteRef/>
      </w:r>
      <w:r w:rsidRPr="001D7392">
        <w:rPr>
          <w:rFonts w:ascii="Trebuchet MS" w:hAnsi="Trebuchet MS"/>
          <w:sz w:val="18"/>
          <w:szCs w:val="18"/>
        </w:rPr>
        <w:t xml:space="preserve"> </w:t>
      </w:r>
      <w:hyperlink r:id="rId1" w:history="1">
        <w:r w:rsidR="001D7392" w:rsidRPr="001D7392">
          <w:rPr>
            <w:rStyle w:val="Hipersaitas"/>
            <w:rFonts w:ascii="Trebuchet MS" w:hAnsi="Trebuchet MS"/>
            <w:sz w:val="18"/>
            <w:szCs w:val="18"/>
          </w:rPr>
          <w:t>https://osp.stat.gov.lt/documents/10180/677338/Kvartiliu_skaiciavimo_metodika.pdf/7081f02c-a84e-45da-9475-776184699b86</w:t>
        </w:r>
      </w:hyperlink>
      <w:r w:rsidR="001D7392" w:rsidRPr="001D7392">
        <w:rPr>
          <w:rStyle w:val="Hipersaitas"/>
          <w:rFonts w:ascii="Trebuchet MS" w:hAnsi="Trebuchet M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026986"/>
      <w:docPartObj>
        <w:docPartGallery w:val="Page Numbers (Top of Page)"/>
        <w:docPartUnique/>
      </w:docPartObj>
    </w:sdtPr>
    <w:sdtEndPr/>
    <w:sdtContent>
      <w:p w14:paraId="3B58DF45" w14:textId="769F858F" w:rsidR="0028727E" w:rsidRDefault="0028727E">
        <w:pPr>
          <w:pStyle w:val="Antrats"/>
          <w:jc w:val="center"/>
        </w:pPr>
        <w:r>
          <w:fldChar w:fldCharType="begin"/>
        </w:r>
        <w:r>
          <w:instrText>PAGE   \* MERGEFORMAT</w:instrText>
        </w:r>
        <w:r>
          <w:fldChar w:fldCharType="separate"/>
        </w:r>
        <w:r>
          <w:rPr>
            <w:lang w:val="lt-LT"/>
          </w:rPr>
          <w:t>2</w:t>
        </w:r>
        <w:r>
          <w:fldChar w:fldCharType="end"/>
        </w:r>
      </w:p>
    </w:sdtContent>
  </w:sdt>
  <w:p w14:paraId="7B66F445" w14:textId="77777777" w:rsidR="0028727E" w:rsidRDefault="002872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5749"/>
    <w:multiLevelType w:val="hybridMultilevel"/>
    <w:tmpl w:val="F882386E"/>
    <w:lvl w:ilvl="0" w:tplc="F1BA0966">
      <w:start w:val="4"/>
      <w:numFmt w:val="bullet"/>
      <w:lvlText w:val="-"/>
      <w:lvlJc w:val="left"/>
      <w:pPr>
        <w:ind w:left="1080" w:hanging="360"/>
      </w:pPr>
      <w:rPr>
        <w:rFonts w:ascii="Trebuchet MS" w:eastAsia="MS Mincho" w:hAnsi="Trebuchet M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6E0295C"/>
    <w:multiLevelType w:val="hybridMultilevel"/>
    <w:tmpl w:val="E23EF62C"/>
    <w:lvl w:ilvl="0" w:tplc="AE92A0C2">
      <w:start w:val="1"/>
      <w:numFmt w:val="bullet"/>
      <w:lvlText w:val="-"/>
      <w:lvlJc w:val="left"/>
      <w:pPr>
        <w:tabs>
          <w:tab w:val="num" w:pos="720"/>
        </w:tabs>
        <w:ind w:left="720" w:hanging="360"/>
      </w:pPr>
      <w:rPr>
        <w:rFonts w:ascii="Times New Roman" w:hAnsi="Times New Roman" w:hint="default"/>
      </w:rPr>
    </w:lvl>
    <w:lvl w:ilvl="1" w:tplc="9B14DC80" w:tentative="1">
      <w:start w:val="1"/>
      <w:numFmt w:val="bullet"/>
      <w:lvlText w:val="-"/>
      <w:lvlJc w:val="left"/>
      <w:pPr>
        <w:tabs>
          <w:tab w:val="num" w:pos="1440"/>
        </w:tabs>
        <w:ind w:left="1440" w:hanging="360"/>
      </w:pPr>
      <w:rPr>
        <w:rFonts w:ascii="Times New Roman" w:hAnsi="Times New Roman" w:hint="default"/>
      </w:rPr>
    </w:lvl>
    <w:lvl w:ilvl="2" w:tplc="BDA608CA" w:tentative="1">
      <w:start w:val="1"/>
      <w:numFmt w:val="bullet"/>
      <w:lvlText w:val="-"/>
      <w:lvlJc w:val="left"/>
      <w:pPr>
        <w:tabs>
          <w:tab w:val="num" w:pos="2160"/>
        </w:tabs>
        <w:ind w:left="2160" w:hanging="360"/>
      </w:pPr>
      <w:rPr>
        <w:rFonts w:ascii="Times New Roman" w:hAnsi="Times New Roman" w:hint="default"/>
      </w:rPr>
    </w:lvl>
    <w:lvl w:ilvl="3" w:tplc="A8183A32" w:tentative="1">
      <w:start w:val="1"/>
      <w:numFmt w:val="bullet"/>
      <w:lvlText w:val="-"/>
      <w:lvlJc w:val="left"/>
      <w:pPr>
        <w:tabs>
          <w:tab w:val="num" w:pos="2880"/>
        </w:tabs>
        <w:ind w:left="2880" w:hanging="360"/>
      </w:pPr>
      <w:rPr>
        <w:rFonts w:ascii="Times New Roman" w:hAnsi="Times New Roman" w:hint="default"/>
      </w:rPr>
    </w:lvl>
    <w:lvl w:ilvl="4" w:tplc="0484AF94" w:tentative="1">
      <w:start w:val="1"/>
      <w:numFmt w:val="bullet"/>
      <w:lvlText w:val="-"/>
      <w:lvlJc w:val="left"/>
      <w:pPr>
        <w:tabs>
          <w:tab w:val="num" w:pos="3600"/>
        </w:tabs>
        <w:ind w:left="3600" w:hanging="360"/>
      </w:pPr>
      <w:rPr>
        <w:rFonts w:ascii="Times New Roman" w:hAnsi="Times New Roman" w:hint="default"/>
      </w:rPr>
    </w:lvl>
    <w:lvl w:ilvl="5" w:tplc="60343004" w:tentative="1">
      <w:start w:val="1"/>
      <w:numFmt w:val="bullet"/>
      <w:lvlText w:val="-"/>
      <w:lvlJc w:val="left"/>
      <w:pPr>
        <w:tabs>
          <w:tab w:val="num" w:pos="4320"/>
        </w:tabs>
        <w:ind w:left="4320" w:hanging="360"/>
      </w:pPr>
      <w:rPr>
        <w:rFonts w:ascii="Times New Roman" w:hAnsi="Times New Roman" w:hint="default"/>
      </w:rPr>
    </w:lvl>
    <w:lvl w:ilvl="6" w:tplc="88D4A7EA" w:tentative="1">
      <w:start w:val="1"/>
      <w:numFmt w:val="bullet"/>
      <w:lvlText w:val="-"/>
      <w:lvlJc w:val="left"/>
      <w:pPr>
        <w:tabs>
          <w:tab w:val="num" w:pos="5040"/>
        </w:tabs>
        <w:ind w:left="5040" w:hanging="360"/>
      </w:pPr>
      <w:rPr>
        <w:rFonts w:ascii="Times New Roman" w:hAnsi="Times New Roman" w:hint="default"/>
      </w:rPr>
    </w:lvl>
    <w:lvl w:ilvl="7" w:tplc="61BCF4B2" w:tentative="1">
      <w:start w:val="1"/>
      <w:numFmt w:val="bullet"/>
      <w:lvlText w:val="-"/>
      <w:lvlJc w:val="left"/>
      <w:pPr>
        <w:tabs>
          <w:tab w:val="num" w:pos="5760"/>
        </w:tabs>
        <w:ind w:left="5760" w:hanging="360"/>
      </w:pPr>
      <w:rPr>
        <w:rFonts w:ascii="Times New Roman" w:hAnsi="Times New Roman" w:hint="default"/>
      </w:rPr>
    </w:lvl>
    <w:lvl w:ilvl="8" w:tplc="1A48AB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D6027B2"/>
    <w:multiLevelType w:val="hybridMultilevel"/>
    <w:tmpl w:val="36BADE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CD"/>
    <w:rsid w:val="00000158"/>
    <w:rsid w:val="0000287C"/>
    <w:rsid w:val="00004517"/>
    <w:rsid w:val="00007BB6"/>
    <w:rsid w:val="00011449"/>
    <w:rsid w:val="00014ED5"/>
    <w:rsid w:val="00024E42"/>
    <w:rsid w:val="00025632"/>
    <w:rsid w:val="00025C29"/>
    <w:rsid w:val="00034818"/>
    <w:rsid w:val="00046C79"/>
    <w:rsid w:val="00073E02"/>
    <w:rsid w:val="0007479C"/>
    <w:rsid w:val="00080896"/>
    <w:rsid w:val="00092585"/>
    <w:rsid w:val="00092BA7"/>
    <w:rsid w:val="000B4A4C"/>
    <w:rsid w:val="000B5031"/>
    <w:rsid w:val="000F0860"/>
    <w:rsid w:val="000F1754"/>
    <w:rsid w:val="00101BE3"/>
    <w:rsid w:val="00121077"/>
    <w:rsid w:val="00124DC4"/>
    <w:rsid w:val="00127B17"/>
    <w:rsid w:val="0014432F"/>
    <w:rsid w:val="00144678"/>
    <w:rsid w:val="00151F8C"/>
    <w:rsid w:val="00177AFA"/>
    <w:rsid w:val="00194F03"/>
    <w:rsid w:val="001A4EB7"/>
    <w:rsid w:val="001A4ECE"/>
    <w:rsid w:val="001A64A3"/>
    <w:rsid w:val="001C3871"/>
    <w:rsid w:val="001D11B1"/>
    <w:rsid w:val="001D48C7"/>
    <w:rsid w:val="001D7392"/>
    <w:rsid w:val="001E0F93"/>
    <w:rsid w:val="00201842"/>
    <w:rsid w:val="00211230"/>
    <w:rsid w:val="00217EE9"/>
    <w:rsid w:val="002350FA"/>
    <w:rsid w:val="00236736"/>
    <w:rsid w:val="00237B14"/>
    <w:rsid w:val="00247AA4"/>
    <w:rsid w:val="00247F68"/>
    <w:rsid w:val="00252B75"/>
    <w:rsid w:val="0025563D"/>
    <w:rsid w:val="00256469"/>
    <w:rsid w:val="00257C1D"/>
    <w:rsid w:val="00257CDE"/>
    <w:rsid w:val="002671F6"/>
    <w:rsid w:val="00271E9E"/>
    <w:rsid w:val="00281488"/>
    <w:rsid w:val="0028624C"/>
    <w:rsid w:val="00286F21"/>
    <w:rsid w:val="0028727E"/>
    <w:rsid w:val="00297FBE"/>
    <w:rsid w:val="002B3682"/>
    <w:rsid w:val="002C57A8"/>
    <w:rsid w:val="002E14F4"/>
    <w:rsid w:val="002E43B9"/>
    <w:rsid w:val="002F2660"/>
    <w:rsid w:val="002F41A5"/>
    <w:rsid w:val="00303A4D"/>
    <w:rsid w:val="00312044"/>
    <w:rsid w:val="00312FFB"/>
    <w:rsid w:val="00315077"/>
    <w:rsid w:val="00317278"/>
    <w:rsid w:val="00321FE6"/>
    <w:rsid w:val="00326631"/>
    <w:rsid w:val="00334569"/>
    <w:rsid w:val="00340374"/>
    <w:rsid w:val="003404C4"/>
    <w:rsid w:val="00351DEB"/>
    <w:rsid w:val="00351E1A"/>
    <w:rsid w:val="00357E39"/>
    <w:rsid w:val="00362BC1"/>
    <w:rsid w:val="003677DD"/>
    <w:rsid w:val="00373967"/>
    <w:rsid w:val="00380213"/>
    <w:rsid w:val="00385146"/>
    <w:rsid w:val="0038684D"/>
    <w:rsid w:val="003963C3"/>
    <w:rsid w:val="003A2C55"/>
    <w:rsid w:val="003A47C4"/>
    <w:rsid w:val="003A7899"/>
    <w:rsid w:val="003B1048"/>
    <w:rsid w:val="003B47A8"/>
    <w:rsid w:val="003C37EF"/>
    <w:rsid w:val="003D6BAE"/>
    <w:rsid w:val="003E2E1F"/>
    <w:rsid w:val="003F7833"/>
    <w:rsid w:val="00412C3E"/>
    <w:rsid w:val="00414720"/>
    <w:rsid w:val="004205D5"/>
    <w:rsid w:val="0042672B"/>
    <w:rsid w:val="004315BD"/>
    <w:rsid w:val="00431F81"/>
    <w:rsid w:val="00437C79"/>
    <w:rsid w:val="00445DED"/>
    <w:rsid w:val="004504B7"/>
    <w:rsid w:val="00452440"/>
    <w:rsid w:val="00465428"/>
    <w:rsid w:val="00470FE5"/>
    <w:rsid w:val="004851F5"/>
    <w:rsid w:val="0049773F"/>
    <w:rsid w:val="004A107B"/>
    <w:rsid w:val="004D4A2F"/>
    <w:rsid w:val="004D5893"/>
    <w:rsid w:val="004E5C69"/>
    <w:rsid w:val="004E5D63"/>
    <w:rsid w:val="004F425A"/>
    <w:rsid w:val="00505295"/>
    <w:rsid w:val="0051149A"/>
    <w:rsid w:val="00525655"/>
    <w:rsid w:val="00541034"/>
    <w:rsid w:val="00541569"/>
    <w:rsid w:val="00546753"/>
    <w:rsid w:val="00560722"/>
    <w:rsid w:val="00563C90"/>
    <w:rsid w:val="00564F10"/>
    <w:rsid w:val="0056598B"/>
    <w:rsid w:val="00576BEF"/>
    <w:rsid w:val="00582A3E"/>
    <w:rsid w:val="005A5127"/>
    <w:rsid w:val="005B7B33"/>
    <w:rsid w:val="005D4C28"/>
    <w:rsid w:val="005D6C83"/>
    <w:rsid w:val="005E3FF2"/>
    <w:rsid w:val="005F03FF"/>
    <w:rsid w:val="005F3E2E"/>
    <w:rsid w:val="00606A8D"/>
    <w:rsid w:val="0061110F"/>
    <w:rsid w:val="00640576"/>
    <w:rsid w:val="00640A14"/>
    <w:rsid w:val="00642834"/>
    <w:rsid w:val="00643BF2"/>
    <w:rsid w:val="006501E5"/>
    <w:rsid w:val="006558BB"/>
    <w:rsid w:val="00657A7A"/>
    <w:rsid w:val="006611B0"/>
    <w:rsid w:val="00671FFA"/>
    <w:rsid w:val="006871CF"/>
    <w:rsid w:val="00695BE9"/>
    <w:rsid w:val="006A2B1F"/>
    <w:rsid w:val="006A7139"/>
    <w:rsid w:val="006B382C"/>
    <w:rsid w:val="006B5D7E"/>
    <w:rsid w:val="006B72E3"/>
    <w:rsid w:val="006C1E29"/>
    <w:rsid w:val="006C3342"/>
    <w:rsid w:val="006E464F"/>
    <w:rsid w:val="006E4C2D"/>
    <w:rsid w:val="006F082D"/>
    <w:rsid w:val="006F16D0"/>
    <w:rsid w:val="0070397A"/>
    <w:rsid w:val="00707431"/>
    <w:rsid w:val="00713750"/>
    <w:rsid w:val="007139AB"/>
    <w:rsid w:val="00730F7B"/>
    <w:rsid w:val="00735EDE"/>
    <w:rsid w:val="00737B08"/>
    <w:rsid w:val="007450D5"/>
    <w:rsid w:val="007453CD"/>
    <w:rsid w:val="007474D8"/>
    <w:rsid w:val="00762803"/>
    <w:rsid w:val="007723B5"/>
    <w:rsid w:val="007731E9"/>
    <w:rsid w:val="00781028"/>
    <w:rsid w:val="00785702"/>
    <w:rsid w:val="00787BCB"/>
    <w:rsid w:val="00790235"/>
    <w:rsid w:val="007A57C7"/>
    <w:rsid w:val="007A5DEE"/>
    <w:rsid w:val="007B47B5"/>
    <w:rsid w:val="007C0D76"/>
    <w:rsid w:val="007C6226"/>
    <w:rsid w:val="007D0332"/>
    <w:rsid w:val="007D3AE0"/>
    <w:rsid w:val="007E39DA"/>
    <w:rsid w:val="007E3A6B"/>
    <w:rsid w:val="007F7039"/>
    <w:rsid w:val="00810620"/>
    <w:rsid w:val="0082470E"/>
    <w:rsid w:val="00830824"/>
    <w:rsid w:val="00842417"/>
    <w:rsid w:val="008507CC"/>
    <w:rsid w:val="00852E72"/>
    <w:rsid w:val="008821E6"/>
    <w:rsid w:val="00896E5C"/>
    <w:rsid w:val="008B14B8"/>
    <w:rsid w:val="008B1F73"/>
    <w:rsid w:val="008B3D53"/>
    <w:rsid w:val="008C0321"/>
    <w:rsid w:val="008F6C0C"/>
    <w:rsid w:val="00901123"/>
    <w:rsid w:val="0090553B"/>
    <w:rsid w:val="0092077A"/>
    <w:rsid w:val="0092371D"/>
    <w:rsid w:val="009302D8"/>
    <w:rsid w:val="00933A19"/>
    <w:rsid w:val="00937381"/>
    <w:rsid w:val="00941849"/>
    <w:rsid w:val="00945AB4"/>
    <w:rsid w:val="009651C7"/>
    <w:rsid w:val="00966C52"/>
    <w:rsid w:val="00983902"/>
    <w:rsid w:val="00983FA1"/>
    <w:rsid w:val="00985276"/>
    <w:rsid w:val="009866ED"/>
    <w:rsid w:val="009879E3"/>
    <w:rsid w:val="00993AA0"/>
    <w:rsid w:val="009A0C33"/>
    <w:rsid w:val="009B1875"/>
    <w:rsid w:val="009C34F5"/>
    <w:rsid w:val="009D30F4"/>
    <w:rsid w:val="009D6C2E"/>
    <w:rsid w:val="009D71C8"/>
    <w:rsid w:val="009D76C7"/>
    <w:rsid w:val="009E1CEA"/>
    <w:rsid w:val="009E279C"/>
    <w:rsid w:val="009F2513"/>
    <w:rsid w:val="009F6978"/>
    <w:rsid w:val="00A17C71"/>
    <w:rsid w:val="00A224C6"/>
    <w:rsid w:val="00A4019F"/>
    <w:rsid w:val="00A43AAD"/>
    <w:rsid w:val="00A46C97"/>
    <w:rsid w:val="00A46E88"/>
    <w:rsid w:val="00A60BB2"/>
    <w:rsid w:val="00A70F6B"/>
    <w:rsid w:val="00A72C32"/>
    <w:rsid w:val="00A77142"/>
    <w:rsid w:val="00A8030C"/>
    <w:rsid w:val="00A956D8"/>
    <w:rsid w:val="00A9581E"/>
    <w:rsid w:val="00AB183B"/>
    <w:rsid w:val="00AC7773"/>
    <w:rsid w:val="00AD3B3C"/>
    <w:rsid w:val="00AE5C3B"/>
    <w:rsid w:val="00AF0BD8"/>
    <w:rsid w:val="00AF2E05"/>
    <w:rsid w:val="00AF7F90"/>
    <w:rsid w:val="00B0022D"/>
    <w:rsid w:val="00B00CB4"/>
    <w:rsid w:val="00B02D47"/>
    <w:rsid w:val="00B10178"/>
    <w:rsid w:val="00B108D4"/>
    <w:rsid w:val="00B2052E"/>
    <w:rsid w:val="00B24DC7"/>
    <w:rsid w:val="00B25687"/>
    <w:rsid w:val="00B27DA3"/>
    <w:rsid w:val="00B30980"/>
    <w:rsid w:val="00B4783E"/>
    <w:rsid w:val="00B70822"/>
    <w:rsid w:val="00B71AE8"/>
    <w:rsid w:val="00B8037C"/>
    <w:rsid w:val="00B81A41"/>
    <w:rsid w:val="00B8787E"/>
    <w:rsid w:val="00BA7CFF"/>
    <w:rsid w:val="00BB715B"/>
    <w:rsid w:val="00BC289B"/>
    <w:rsid w:val="00BF2B98"/>
    <w:rsid w:val="00BF335B"/>
    <w:rsid w:val="00BF49F6"/>
    <w:rsid w:val="00BF4D7F"/>
    <w:rsid w:val="00C02DBF"/>
    <w:rsid w:val="00C02ED5"/>
    <w:rsid w:val="00C0463A"/>
    <w:rsid w:val="00C07F15"/>
    <w:rsid w:val="00C22056"/>
    <w:rsid w:val="00C2751D"/>
    <w:rsid w:val="00C40AAD"/>
    <w:rsid w:val="00C50148"/>
    <w:rsid w:val="00C5213A"/>
    <w:rsid w:val="00C61502"/>
    <w:rsid w:val="00C62ABB"/>
    <w:rsid w:val="00C7717D"/>
    <w:rsid w:val="00C835F3"/>
    <w:rsid w:val="00C879B6"/>
    <w:rsid w:val="00C9122C"/>
    <w:rsid w:val="00C92A81"/>
    <w:rsid w:val="00C95336"/>
    <w:rsid w:val="00C96D6D"/>
    <w:rsid w:val="00CA0493"/>
    <w:rsid w:val="00CA7213"/>
    <w:rsid w:val="00CA771A"/>
    <w:rsid w:val="00CB62C4"/>
    <w:rsid w:val="00CB7168"/>
    <w:rsid w:val="00CC1DBD"/>
    <w:rsid w:val="00CD2BCF"/>
    <w:rsid w:val="00CE5154"/>
    <w:rsid w:val="00D01E48"/>
    <w:rsid w:val="00D17FE1"/>
    <w:rsid w:val="00D23E2B"/>
    <w:rsid w:val="00D244EA"/>
    <w:rsid w:val="00D317BF"/>
    <w:rsid w:val="00D348B3"/>
    <w:rsid w:val="00D47B3E"/>
    <w:rsid w:val="00D52CE9"/>
    <w:rsid w:val="00D60E94"/>
    <w:rsid w:val="00D610D4"/>
    <w:rsid w:val="00D70AF7"/>
    <w:rsid w:val="00D7107E"/>
    <w:rsid w:val="00D76560"/>
    <w:rsid w:val="00D77248"/>
    <w:rsid w:val="00D84687"/>
    <w:rsid w:val="00D930A7"/>
    <w:rsid w:val="00D945A3"/>
    <w:rsid w:val="00DA49CE"/>
    <w:rsid w:val="00DB243E"/>
    <w:rsid w:val="00DB43A1"/>
    <w:rsid w:val="00DB58D3"/>
    <w:rsid w:val="00DB6664"/>
    <w:rsid w:val="00DD1631"/>
    <w:rsid w:val="00DE70B9"/>
    <w:rsid w:val="00DF29B7"/>
    <w:rsid w:val="00DF568D"/>
    <w:rsid w:val="00E01A61"/>
    <w:rsid w:val="00E03A41"/>
    <w:rsid w:val="00E108AD"/>
    <w:rsid w:val="00E2563F"/>
    <w:rsid w:val="00E27370"/>
    <w:rsid w:val="00E40304"/>
    <w:rsid w:val="00E5761B"/>
    <w:rsid w:val="00E62576"/>
    <w:rsid w:val="00E62E7C"/>
    <w:rsid w:val="00E656FC"/>
    <w:rsid w:val="00E66256"/>
    <w:rsid w:val="00E7135E"/>
    <w:rsid w:val="00E719CE"/>
    <w:rsid w:val="00E72A96"/>
    <w:rsid w:val="00E95027"/>
    <w:rsid w:val="00EA07C5"/>
    <w:rsid w:val="00EA6DBF"/>
    <w:rsid w:val="00EB15A7"/>
    <w:rsid w:val="00EB21A5"/>
    <w:rsid w:val="00EB2295"/>
    <w:rsid w:val="00EB66C2"/>
    <w:rsid w:val="00EC3221"/>
    <w:rsid w:val="00ED07F9"/>
    <w:rsid w:val="00ED2205"/>
    <w:rsid w:val="00ED3BAB"/>
    <w:rsid w:val="00ED4783"/>
    <w:rsid w:val="00EE377F"/>
    <w:rsid w:val="00EF0B91"/>
    <w:rsid w:val="00EF1C6B"/>
    <w:rsid w:val="00F03DE1"/>
    <w:rsid w:val="00F045AC"/>
    <w:rsid w:val="00F1763F"/>
    <w:rsid w:val="00F17ECC"/>
    <w:rsid w:val="00F22C33"/>
    <w:rsid w:val="00F2383D"/>
    <w:rsid w:val="00F23FC3"/>
    <w:rsid w:val="00F2410C"/>
    <w:rsid w:val="00F2718A"/>
    <w:rsid w:val="00F343E8"/>
    <w:rsid w:val="00F4457F"/>
    <w:rsid w:val="00F47D05"/>
    <w:rsid w:val="00F539D9"/>
    <w:rsid w:val="00F53AC1"/>
    <w:rsid w:val="00F5564C"/>
    <w:rsid w:val="00F629E7"/>
    <w:rsid w:val="00F6798D"/>
    <w:rsid w:val="00F91D2A"/>
    <w:rsid w:val="00F979D5"/>
    <w:rsid w:val="00F97AA4"/>
    <w:rsid w:val="00FB448F"/>
    <w:rsid w:val="00FB55C1"/>
    <w:rsid w:val="00FD25CA"/>
    <w:rsid w:val="00FD5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8D0C3"/>
  <w15:chartTrackingRefBased/>
  <w15:docId w15:val="{2BC65242-99F8-4A47-856E-5FA22559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453CD"/>
    <w:pPr>
      <w:spacing w:after="200" w:line="240" w:lineRule="auto"/>
    </w:pPr>
    <w:rPr>
      <w:rFonts w:ascii="ArialLT" w:eastAsia="MS Mincho" w:hAnsi="ArialLT" w:cs="Times New Roman"/>
      <w:szCs w:val="24"/>
      <w:lang w:val="en-GB"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453CD"/>
    <w:rPr>
      <w:color w:val="0000FF"/>
      <w:u w:val="single"/>
    </w:rPr>
  </w:style>
  <w:style w:type="paragraph" w:styleId="Puslapioinaostekstas">
    <w:name w:val="footnote text"/>
    <w:aliases w:val="fn,ft,FT,fn1,fn Char Char Char Char,fn Char Char Char Char Char Char Char Char,fn Char Char Char Char Char Char Char Char Char Char Char,Voetnoottekst Char,fn Char Char Char Char Char Char Char,Footnote Text AG,Char,Fußnote"/>
    <w:basedOn w:val="prastasis"/>
    <w:link w:val="PuslapioinaostekstasDiagrama"/>
    <w:qFormat/>
    <w:rsid w:val="007453CD"/>
    <w:rPr>
      <w:sz w:val="20"/>
      <w:szCs w:val="20"/>
    </w:rPr>
  </w:style>
  <w:style w:type="character" w:customStyle="1" w:styleId="PuslapioinaostekstasDiagrama">
    <w:name w:val="Puslapio išnašos tekstas Diagrama"/>
    <w:aliases w:val="fn Diagrama,ft Diagrama,FT Diagrama,fn1 Diagrama,fn Char Char Char Char Diagrama,fn Char Char Char Char Char Char Char Char Diagrama,fn Char Char Char Char Char Char Char Char Char Char Char Diagrama,Char Diagrama"/>
    <w:basedOn w:val="Numatytasispastraiposriftas"/>
    <w:link w:val="Puslapioinaostekstas"/>
    <w:qFormat/>
    <w:rsid w:val="007453CD"/>
    <w:rPr>
      <w:rFonts w:ascii="ArialLT" w:eastAsia="MS Mincho" w:hAnsi="ArialLT" w:cs="Times New Roman"/>
      <w:sz w:val="20"/>
      <w:szCs w:val="20"/>
      <w:lang w:val="en-GB" w:eastAsia="ja-JP"/>
    </w:rPr>
  </w:style>
  <w:style w:type="character" w:styleId="Puslapioinaosnuoroda">
    <w:name w:val="footnote reference"/>
    <w:aliases w:val="fr,Footnote Reference new,Style 49,Style 18,Footnote Referece,Footnote symbol,Footnote reference number,note TESI,BVI fnr,Appel note de bas de p,Nota,SUPERS,Footnote number,Footnote Reference Superscript,EN Footnote Reference"/>
    <w:link w:val="SUPERSCharCharCharCharCharCharCharChar"/>
    <w:qFormat/>
    <w:rsid w:val="007453CD"/>
    <w:rPr>
      <w:vertAlign w:val="superscript"/>
    </w:rPr>
  </w:style>
  <w:style w:type="paragraph" w:customStyle="1" w:styleId="Default">
    <w:name w:val="Default"/>
    <w:rsid w:val="007453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2">
    <w:name w:val="Body Text Indent 2"/>
    <w:basedOn w:val="prastasis"/>
    <w:link w:val="Pagrindiniotekstotrauka2Diagrama"/>
    <w:uiPriority w:val="99"/>
    <w:unhideWhenUsed/>
    <w:rsid w:val="007453CD"/>
    <w:pPr>
      <w:spacing w:after="120" w:line="480" w:lineRule="auto"/>
      <w:ind w:left="283"/>
    </w:pPr>
    <w:rPr>
      <w:rFonts w:ascii="Univers for KPMG Light" w:eastAsia="Times New Roman" w:hAnsi="Univers for KPMG Light"/>
      <w:szCs w:val="20"/>
      <w:lang w:eastAsia="en-US"/>
    </w:rPr>
  </w:style>
  <w:style w:type="character" w:customStyle="1" w:styleId="Pagrindiniotekstotrauka2Diagrama">
    <w:name w:val="Pagrindinio teksto įtrauka 2 Diagrama"/>
    <w:basedOn w:val="Numatytasispastraiposriftas"/>
    <w:link w:val="Pagrindiniotekstotrauka2"/>
    <w:uiPriority w:val="99"/>
    <w:rsid w:val="007453CD"/>
    <w:rPr>
      <w:rFonts w:ascii="Univers for KPMG Light" w:eastAsia="Times New Roman" w:hAnsi="Univers for KPMG Light" w:cs="Times New Roman"/>
      <w:szCs w:val="20"/>
      <w:lang w:val="en-GB"/>
    </w:rPr>
  </w:style>
  <w:style w:type="character" w:styleId="Komentaronuoroda">
    <w:name w:val="annotation reference"/>
    <w:uiPriority w:val="99"/>
    <w:rsid w:val="007453CD"/>
    <w:rPr>
      <w:sz w:val="16"/>
      <w:szCs w:val="16"/>
    </w:rPr>
  </w:style>
  <w:style w:type="paragraph" w:styleId="Komentarotekstas">
    <w:name w:val="annotation text"/>
    <w:basedOn w:val="prastasis"/>
    <w:link w:val="KomentarotekstasDiagrama"/>
    <w:uiPriority w:val="99"/>
    <w:unhideWhenUsed/>
    <w:rsid w:val="007453CD"/>
    <w:rPr>
      <w:sz w:val="20"/>
      <w:szCs w:val="20"/>
    </w:rPr>
  </w:style>
  <w:style w:type="character" w:customStyle="1" w:styleId="KomentarotekstasDiagrama">
    <w:name w:val="Komentaro tekstas Diagrama"/>
    <w:basedOn w:val="Numatytasispastraiposriftas"/>
    <w:link w:val="Komentarotekstas"/>
    <w:rsid w:val="007453CD"/>
    <w:rPr>
      <w:rFonts w:ascii="ArialLT" w:eastAsia="MS Mincho" w:hAnsi="ArialLT" w:cs="Times New Roman"/>
      <w:sz w:val="20"/>
      <w:szCs w:val="20"/>
      <w:lang w:val="en-GB" w:eastAsia="ja-JP"/>
    </w:rPr>
  </w:style>
  <w:style w:type="paragraph" w:styleId="Sraopastraipa">
    <w:name w:val="List Paragraph"/>
    <w:basedOn w:val="prastasis"/>
    <w:uiPriority w:val="34"/>
    <w:qFormat/>
    <w:rsid w:val="007453CD"/>
    <w:pPr>
      <w:ind w:left="720"/>
      <w:contextualSpacing/>
    </w:pPr>
  </w:style>
  <w:style w:type="paragraph" w:styleId="prastasiniatinklio">
    <w:name w:val="Normal (Web)"/>
    <w:basedOn w:val="prastasis"/>
    <w:uiPriority w:val="99"/>
    <w:semiHidden/>
    <w:unhideWhenUsed/>
    <w:rsid w:val="007453CD"/>
    <w:pPr>
      <w:spacing w:before="100" w:beforeAutospacing="1" w:after="100" w:afterAutospacing="1"/>
    </w:pPr>
    <w:rPr>
      <w:rFonts w:ascii="Times New Roman" w:eastAsia="Times New Roman" w:hAnsi="Times New Roman"/>
      <w:sz w:val="24"/>
      <w:lang w:val="lt-LT" w:eastAsia="lt-LT"/>
    </w:rPr>
  </w:style>
  <w:style w:type="table" w:styleId="Lentelstinklelis">
    <w:name w:val="Table Grid"/>
    <w:basedOn w:val="prastojilentel"/>
    <w:rsid w:val="007453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7453CD"/>
    <w:pPr>
      <w:spacing w:after="160" w:line="240" w:lineRule="exact"/>
    </w:pPr>
    <w:rPr>
      <w:rFonts w:asciiTheme="minorHAnsi" w:eastAsiaTheme="minorHAnsi" w:hAnsiTheme="minorHAnsi" w:cstheme="minorBidi"/>
      <w:szCs w:val="22"/>
      <w:vertAlign w:val="superscript"/>
      <w:lang w:val="lt-LT" w:eastAsia="en-US"/>
    </w:rPr>
  </w:style>
  <w:style w:type="character" w:styleId="Grietas">
    <w:name w:val="Strong"/>
    <w:basedOn w:val="Numatytasispastraiposriftas"/>
    <w:uiPriority w:val="22"/>
    <w:qFormat/>
    <w:rsid w:val="007453CD"/>
    <w:rPr>
      <w:b/>
      <w:bCs/>
    </w:rPr>
  </w:style>
  <w:style w:type="paragraph" w:styleId="Debesliotekstas">
    <w:name w:val="Balloon Text"/>
    <w:basedOn w:val="prastasis"/>
    <w:link w:val="DebesliotekstasDiagrama"/>
    <w:uiPriority w:val="99"/>
    <w:semiHidden/>
    <w:unhideWhenUsed/>
    <w:rsid w:val="007453CD"/>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3CD"/>
    <w:rPr>
      <w:rFonts w:ascii="Segoe UI" w:eastAsia="MS Mincho" w:hAnsi="Segoe UI" w:cs="Segoe UI"/>
      <w:sz w:val="18"/>
      <w:szCs w:val="18"/>
      <w:lang w:val="en-GB" w:eastAsia="ja-JP"/>
    </w:rPr>
  </w:style>
  <w:style w:type="paragraph" w:styleId="Komentarotema">
    <w:name w:val="annotation subject"/>
    <w:basedOn w:val="Komentarotekstas"/>
    <w:next w:val="Komentarotekstas"/>
    <w:link w:val="KomentarotemaDiagrama"/>
    <w:uiPriority w:val="99"/>
    <w:semiHidden/>
    <w:unhideWhenUsed/>
    <w:rsid w:val="00D47B3E"/>
    <w:rPr>
      <w:b/>
      <w:bCs/>
    </w:rPr>
  </w:style>
  <w:style w:type="character" w:customStyle="1" w:styleId="KomentarotemaDiagrama">
    <w:name w:val="Komentaro tema Diagrama"/>
    <w:basedOn w:val="KomentarotekstasDiagrama"/>
    <w:link w:val="Komentarotema"/>
    <w:uiPriority w:val="99"/>
    <w:semiHidden/>
    <w:rsid w:val="00D47B3E"/>
    <w:rPr>
      <w:rFonts w:ascii="ArialLT" w:eastAsia="MS Mincho" w:hAnsi="ArialLT" w:cs="Times New Roman"/>
      <w:b/>
      <w:bCs/>
      <w:sz w:val="20"/>
      <w:szCs w:val="20"/>
      <w:lang w:val="en-GB" w:eastAsia="ja-JP"/>
    </w:rPr>
  </w:style>
  <w:style w:type="character" w:styleId="Perirtashipersaitas">
    <w:name w:val="FollowedHyperlink"/>
    <w:basedOn w:val="Numatytasispastraiposriftas"/>
    <w:uiPriority w:val="99"/>
    <w:semiHidden/>
    <w:unhideWhenUsed/>
    <w:rsid w:val="00ED3BAB"/>
    <w:rPr>
      <w:color w:val="954F72" w:themeColor="followedHyperlink"/>
      <w:u w:val="single"/>
    </w:rPr>
  </w:style>
  <w:style w:type="paragraph" w:styleId="Pataisymai">
    <w:name w:val="Revision"/>
    <w:hidden/>
    <w:uiPriority w:val="99"/>
    <w:semiHidden/>
    <w:rsid w:val="00C50148"/>
    <w:pPr>
      <w:spacing w:after="0" w:line="240" w:lineRule="auto"/>
    </w:pPr>
    <w:rPr>
      <w:rFonts w:ascii="ArialLT" w:eastAsia="MS Mincho" w:hAnsi="ArialLT" w:cs="Times New Roman"/>
      <w:szCs w:val="24"/>
      <w:lang w:val="en-GB" w:eastAsia="ja-JP"/>
    </w:rPr>
  </w:style>
  <w:style w:type="paragraph" w:styleId="Pagrindiniotekstotrauka">
    <w:name w:val="Body Text Indent"/>
    <w:basedOn w:val="prastasis"/>
    <w:link w:val="PagrindiniotekstotraukaDiagrama"/>
    <w:uiPriority w:val="99"/>
    <w:semiHidden/>
    <w:unhideWhenUsed/>
    <w:rsid w:val="009D30F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D30F4"/>
    <w:rPr>
      <w:rFonts w:ascii="ArialLT" w:eastAsia="MS Mincho" w:hAnsi="ArialLT" w:cs="Times New Roman"/>
      <w:szCs w:val="24"/>
      <w:lang w:val="en-GB" w:eastAsia="ja-JP"/>
    </w:rPr>
  </w:style>
  <w:style w:type="paragraph" w:styleId="Porat">
    <w:name w:val="footer"/>
    <w:basedOn w:val="prastasis"/>
    <w:link w:val="PoratDiagrama"/>
    <w:uiPriority w:val="99"/>
    <w:rsid w:val="00BF49F6"/>
    <w:pPr>
      <w:tabs>
        <w:tab w:val="center" w:pos="4153"/>
        <w:tab w:val="right" w:pos="8306"/>
      </w:tabs>
      <w:spacing w:after="0"/>
    </w:pPr>
    <w:rPr>
      <w:rFonts w:ascii="Times New Roman" w:eastAsia="Times New Roman" w:hAnsi="Times New Roman"/>
      <w:sz w:val="24"/>
      <w:lang w:val="lt-LT" w:eastAsia="en-US"/>
    </w:rPr>
  </w:style>
  <w:style w:type="character" w:customStyle="1" w:styleId="PoratDiagrama">
    <w:name w:val="Poraštė Diagrama"/>
    <w:basedOn w:val="Numatytasispastraiposriftas"/>
    <w:link w:val="Porat"/>
    <w:uiPriority w:val="99"/>
    <w:rsid w:val="00BF49F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564F10"/>
    <w:pPr>
      <w:tabs>
        <w:tab w:val="center" w:pos="4819"/>
        <w:tab w:val="right" w:pos="9638"/>
      </w:tabs>
      <w:spacing w:after="0"/>
    </w:pPr>
  </w:style>
  <w:style w:type="character" w:customStyle="1" w:styleId="AntratsDiagrama">
    <w:name w:val="Antraštės Diagrama"/>
    <w:basedOn w:val="Numatytasispastraiposriftas"/>
    <w:link w:val="Antrats"/>
    <w:uiPriority w:val="99"/>
    <w:rsid w:val="00564F10"/>
    <w:rPr>
      <w:rFonts w:ascii="ArialLT" w:eastAsia="MS Mincho" w:hAnsi="ArialLT" w:cs="Times New Roman"/>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1852">
      <w:bodyDiv w:val="1"/>
      <w:marLeft w:val="0"/>
      <w:marRight w:val="0"/>
      <w:marTop w:val="0"/>
      <w:marBottom w:val="0"/>
      <w:divBdr>
        <w:top w:val="none" w:sz="0" w:space="0" w:color="auto"/>
        <w:left w:val="none" w:sz="0" w:space="0" w:color="auto"/>
        <w:bottom w:val="none" w:sz="0" w:space="0" w:color="auto"/>
        <w:right w:val="none" w:sz="0" w:space="0" w:color="auto"/>
      </w:divBdr>
    </w:div>
    <w:div w:id="321585673">
      <w:bodyDiv w:val="1"/>
      <w:marLeft w:val="0"/>
      <w:marRight w:val="0"/>
      <w:marTop w:val="0"/>
      <w:marBottom w:val="0"/>
      <w:divBdr>
        <w:top w:val="none" w:sz="0" w:space="0" w:color="auto"/>
        <w:left w:val="none" w:sz="0" w:space="0" w:color="auto"/>
        <w:bottom w:val="none" w:sz="0" w:space="0" w:color="auto"/>
        <w:right w:val="none" w:sz="0" w:space="0" w:color="auto"/>
      </w:divBdr>
    </w:div>
    <w:div w:id="400106020">
      <w:bodyDiv w:val="1"/>
      <w:marLeft w:val="0"/>
      <w:marRight w:val="0"/>
      <w:marTop w:val="0"/>
      <w:marBottom w:val="0"/>
      <w:divBdr>
        <w:top w:val="none" w:sz="0" w:space="0" w:color="auto"/>
        <w:left w:val="none" w:sz="0" w:space="0" w:color="auto"/>
        <w:bottom w:val="none" w:sz="0" w:space="0" w:color="auto"/>
        <w:right w:val="none" w:sz="0" w:space="0" w:color="auto"/>
      </w:divBdr>
    </w:div>
    <w:div w:id="930040628">
      <w:bodyDiv w:val="1"/>
      <w:marLeft w:val="0"/>
      <w:marRight w:val="0"/>
      <w:marTop w:val="0"/>
      <w:marBottom w:val="0"/>
      <w:divBdr>
        <w:top w:val="none" w:sz="0" w:space="0" w:color="auto"/>
        <w:left w:val="none" w:sz="0" w:space="0" w:color="auto"/>
        <w:bottom w:val="none" w:sz="0" w:space="0" w:color="auto"/>
        <w:right w:val="none" w:sz="0" w:space="0" w:color="auto"/>
      </w:divBdr>
    </w:div>
    <w:div w:id="1312521389">
      <w:bodyDiv w:val="1"/>
      <w:marLeft w:val="0"/>
      <w:marRight w:val="0"/>
      <w:marTop w:val="0"/>
      <w:marBottom w:val="0"/>
      <w:divBdr>
        <w:top w:val="none" w:sz="0" w:space="0" w:color="auto"/>
        <w:left w:val="none" w:sz="0" w:space="0" w:color="auto"/>
        <w:bottom w:val="none" w:sz="0" w:space="0" w:color="auto"/>
        <w:right w:val="none" w:sz="0" w:space="0" w:color="auto"/>
      </w:divBdr>
    </w:div>
    <w:div w:id="13484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Vidurk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documents/10180/677338/Kvartiliu_skaiciavimo_metodika.pdf/7081f02c-a84e-45da-9475-776184699b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documents/10180/677338/Kvartiliu_skaiciavimo_metodika.pdf/7081f02c-a84e-45da-9475-776184699b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6977-EA97-42BE-AE54-679BAED1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5810</Words>
  <Characters>41434</Characters>
  <Application>Microsoft Office Word</Application>
  <DocSecurity>0</DocSecurity>
  <Lines>345</Lines>
  <Paragraphs>94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Varkauskienė</dc:creator>
  <cp:keywords/>
  <dc:description/>
  <cp:lastModifiedBy>Vaidė Riškutė</cp:lastModifiedBy>
  <cp:revision>49</cp:revision>
  <dcterms:created xsi:type="dcterms:W3CDTF">2026-03-16T13:49:00Z</dcterms:created>
  <dcterms:modified xsi:type="dcterms:W3CDTF">2026-07-07T08:18:00Z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69431216-2038-4e44-8cd9-4a43136b2c4f</vt:lpwstr>
  </property>
</Properties>
</file>